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E73" w:rsidRPr="00296A8E" w:rsidRDefault="00C91E73" w:rsidP="00C91E73">
      <w:pPr>
        <w:pStyle w:val="2"/>
      </w:pPr>
      <w:bookmarkStart w:id="0" w:name="_Toc214945166"/>
      <w:r w:rsidRPr="00296A8E">
        <w:rPr>
          <w:rFonts w:hint="eastAsia"/>
        </w:rPr>
        <w:t>C.2</w:t>
      </w:r>
      <w:hyperlink r:id="rId7" w:history="1">
        <w:r w:rsidRPr="00296A8E">
          <w:rPr>
            <w:rFonts w:hint="eastAsia"/>
          </w:rPr>
          <w:t>巨額採購前預期使用效益評估提報</w:t>
        </w:r>
      </w:hyperlink>
      <w:r w:rsidRPr="00296A8E">
        <w:t>格式</w:t>
      </w:r>
      <w:bookmarkEnd w:id="0"/>
    </w:p>
    <w:p w:rsidR="00C91E73" w:rsidRPr="00296A8E" w:rsidRDefault="00C91E73" w:rsidP="00C91E73">
      <w:pPr>
        <w:pStyle w:val="a3"/>
        <w:jc w:val="center"/>
        <w:rPr>
          <w:rFonts w:ascii="標楷體" w:hAnsi="標楷體"/>
          <w:b/>
          <w:color w:val="000000"/>
          <w:sz w:val="28"/>
          <w:szCs w:val="28"/>
        </w:rPr>
      </w:pPr>
      <w:r w:rsidRPr="00296A8E">
        <w:rPr>
          <w:rFonts w:ascii="標楷體" w:hAnsi="標楷體" w:hint="eastAsia"/>
          <w:b/>
          <w:color w:val="000000"/>
          <w:sz w:val="28"/>
          <w:szCs w:val="28"/>
        </w:rPr>
        <w:t>(</w:t>
      </w:r>
      <w:r w:rsidR="00A23286">
        <w:rPr>
          <w:rFonts w:ascii="標楷體" w:hAnsi="標楷體" w:hint="eastAsia"/>
          <w:b/>
          <w:color w:val="000000"/>
          <w:sz w:val="28"/>
          <w:szCs w:val="28"/>
        </w:rPr>
        <w:t>彰化縣衛生局</w:t>
      </w:r>
      <w:r w:rsidRPr="00296A8E">
        <w:rPr>
          <w:rFonts w:ascii="標楷體" w:hAnsi="標楷體" w:hint="eastAsia"/>
          <w:b/>
          <w:color w:val="000000"/>
          <w:sz w:val="28"/>
          <w:szCs w:val="28"/>
        </w:rPr>
        <w:t>)</w:t>
      </w:r>
    </w:p>
    <w:p w:rsidR="00C91E73" w:rsidRPr="00296A8E" w:rsidRDefault="00A23286" w:rsidP="00C91E73">
      <w:pPr>
        <w:pStyle w:val="a3"/>
        <w:jc w:val="center"/>
        <w:rPr>
          <w:rFonts w:ascii="標楷體" w:hAnsi="標楷體"/>
          <w:color w:val="000000"/>
          <w:sz w:val="28"/>
          <w:szCs w:val="28"/>
        </w:rPr>
      </w:pPr>
      <w:r>
        <w:rPr>
          <w:rFonts w:ascii="標楷體" w:hAnsi="標楷體" w:hint="eastAsia"/>
          <w:b/>
          <w:color w:val="000000"/>
          <w:sz w:val="28"/>
          <w:szCs w:val="28"/>
        </w:rPr>
        <w:t>107</w:t>
      </w:r>
      <w:hyperlink r:id="rId8" w:history="1">
        <w:r w:rsidR="00C91E73" w:rsidRPr="00296A8E">
          <w:rPr>
            <w:rFonts w:ascii="標楷體" w:hAnsi="標楷體" w:hint="eastAsia"/>
            <w:b/>
            <w:color w:val="000000"/>
            <w:sz w:val="28"/>
            <w:szCs w:val="28"/>
          </w:rPr>
          <w:t>年度巨額採購前預期使用效益評估提報</w:t>
        </w:r>
      </w:hyperlink>
    </w:p>
    <w:tbl>
      <w:tblPr>
        <w:tblW w:w="952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340"/>
        <w:gridCol w:w="1440"/>
        <w:gridCol w:w="3583"/>
      </w:tblGrid>
      <w:tr w:rsidR="00C91E73" w:rsidRPr="00296A8E" w:rsidTr="00C91E73">
        <w:trPr>
          <w:cantSplit/>
          <w:trHeight w:val="55"/>
        </w:trPr>
        <w:tc>
          <w:tcPr>
            <w:tcW w:w="9523" w:type="dxa"/>
            <w:gridSpan w:val="4"/>
            <w:tcBorders>
              <w:top w:val="single" w:sz="12" w:space="0" w:color="auto"/>
              <w:left w:val="single" w:sz="12" w:space="0" w:color="auto"/>
              <w:bottom w:val="double" w:sz="4" w:space="0" w:color="auto"/>
              <w:right w:val="single" w:sz="12" w:space="0" w:color="auto"/>
            </w:tcBorders>
            <w:shd w:val="pct12" w:color="auto" w:fill="FFFFFF"/>
            <w:vAlign w:val="center"/>
          </w:tcPr>
          <w:p w:rsidR="00C91E73" w:rsidRPr="00296A8E" w:rsidRDefault="00C91E73" w:rsidP="00C91E73">
            <w:pPr>
              <w:jc w:val="distribute"/>
              <w:rPr>
                <w:color w:val="000000"/>
              </w:rPr>
            </w:pPr>
            <w:r w:rsidRPr="00296A8E">
              <w:rPr>
                <w:rFonts w:hint="eastAsia"/>
                <w:color w:val="000000"/>
              </w:rPr>
              <w:t>基本資料填列表格</w:t>
            </w:r>
          </w:p>
        </w:tc>
      </w:tr>
      <w:tr w:rsidR="00C91E73" w:rsidRPr="00296A8E" w:rsidTr="00C91E73">
        <w:trPr>
          <w:cantSplit/>
          <w:trHeight w:val="55"/>
        </w:trPr>
        <w:tc>
          <w:tcPr>
            <w:tcW w:w="2160" w:type="dxa"/>
            <w:tcBorders>
              <w:top w:val="double" w:sz="4" w:space="0" w:color="auto"/>
              <w:left w:val="single" w:sz="12" w:space="0" w:color="auto"/>
              <w:bottom w:val="single" w:sz="6" w:space="0" w:color="auto"/>
            </w:tcBorders>
            <w:vAlign w:val="center"/>
          </w:tcPr>
          <w:p w:rsidR="00C91E73" w:rsidRPr="00296A8E" w:rsidRDefault="00C91E73" w:rsidP="00C91E73">
            <w:pPr>
              <w:jc w:val="both"/>
              <w:rPr>
                <w:color w:val="000000"/>
              </w:rPr>
            </w:pPr>
            <w:r w:rsidRPr="00296A8E">
              <w:rPr>
                <w:color w:val="000000"/>
              </w:rPr>
              <w:t>標的名稱</w:t>
            </w:r>
          </w:p>
        </w:tc>
        <w:tc>
          <w:tcPr>
            <w:tcW w:w="7363" w:type="dxa"/>
            <w:gridSpan w:val="3"/>
            <w:tcBorders>
              <w:top w:val="double" w:sz="4" w:space="0" w:color="auto"/>
              <w:bottom w:val="single" w:sz="6" w:space="0" w:color="auto"/>
              <w:right w:val="single" w:sz="12" w:space="0" w:color="auto"/>
            </w:tcBorders>
            <w:vAlign w:val="center"/>
          </w:tcPr>
          <w:p w:rsidR="00C91E73" w:rsidRPr="00A23286" w:rsidRDefault="00A23286" w:rsidP="00A23286">
            <w:pPr>
              <w:jc w:val="both"/>
              <w:rPr>
                <w:rFonts w:ascii="標楷體" w:hAnsi="標楷體"/>
                <w:color w:val="000000"/>
              </w:rPr>
            </w:pPr>
            <w:r w:rsidRPr="00A23286">
              <w:rPr>
                <w:rFonts w:ascii="標楷體" w:hAnsi="標楷體" w:hint="eastAsia"/>
              </w:rPr>
              <w:t>「公共服務據點整備-整建長照衛福據點」-彰化縣長期照護2.0多功能服務中心暨社福大樓新建工程</w:t>
            </w:r>
            <w:r w:rsidRPr="00A23286">
              <w:rPr>
                <w:rFonts w:ascii="標楷體" w:hAnsi="標楷體"/>
              </w:rPr>
              <w:t>委託規劃設計監造</w:t>
            </w:r>
            <w:r w:rsidR="00905C90">
              <w:rPr>
                <w:rFonts w:ascii="標楷體" w:hAnsi="標楷體" w:hint="eastAsia"/>
              </w:rPr>
              <w:t>服務採購</w:t>
            </w:r>
            <w:r w:rsidRPr="00A23286">
              <w:rPr>
                <w:rFonts w:ascii="標楷體" w:hAnsi="標楷體"/>
              </w:rPr>
              <w:t>案</w:t>
            </w:r>
          </w:p>
        </w:tc>
      </w:tr>
      <w:tr w:rsidR="00C91E73" w:rsidRPr="00296A8E" w:rsidTr="00C91E73">
        <w:trPr>
          <w:cantSplit/>
          <w:trHeight w:val="55"/>
        </w:trPr>
        <w:tc>
          <w:tcPr>
            <w:tcW w:w="2160" w:type="dxa"/>
            <w:tcBorders>
              <w:top w:val="single" w:sz="6" w:space="0" w:color="auto"/>
              <w:left w:val="single" w:sz="12" w:space="0" w:color="auto"/>
            </w:tcBorders>
            <w:vAlign w:val="center"/>
          </w:tcPr>
          <w:p w:rsidR="00C91E73" w:rsidRPr="00296A8E" w:rsidRDefault="00C91E73" w:rsidP="00C91E73">
            <w:pPr>
              <w:jc w:val="both"/>
              <w:rPr>
                <w:color w:val="000000"/>
              </w:rPr>
            </w:pPr>
            <w:r w:rsidRPr="00296A8E">
              <w:rPr>
                <w:color w:val="000000"/>
              </w:rPr>
              <w:t>案號</w:t>
            </w:r>
          </w:p>
        </w:tc>
        <w:tc>
          <w:tcPr>
            <w:tcW w:w="7363" w:type="dxa"/>
            <w:gridSpan w:val="3"/>
            <w:tcBorders>
              <w:top w:val="single" w:sz="6" w:space="0" w:color="auto"/>
              <w:right w:val="single" w:sz="12" w:space="0" w:color="auto"/>
            </w:tcBorders>
            <w:vAlign w:val="center"/>
          </w:tcPr>
          <w:p w:rsidR="00C91E73" w:rsidRPr="00296A8E" w:rsidRDefault="0005360F" w:rsidP="0005360F">
            <w:pPr>
              <w:jc w:val="both"/>
              <w:rPr>
                <w:color w:val="000000"/>
              </w:rPr>
            </w:pPr>
            <w:r>
              <w:rPr>
                <w:rFonts w:hint="eastAsia"/>
                <w:color w:val="000000"/>
              </w:rPr>
              <w:t>107-0020512-141-2-4</w:t>
            </w:r>
          </w:p>
        </w:tc>
      </w:tr>
      <w:tr w:rsidR="00C91E73" w:rsidRPr="00296A8E" w:rsidTr="00C91E73">
        <w:trPr>
          <w:cantSplit/>
          <w:trHeight w:val="55"/>
        </w:trPr>
        <w:tc>
          <w:tcPr>
            <w:tcW w:w="2160" w:type="dxa"/>
            <w:tcBorders>
              <w:left w:val="single" w:sz="12" w:space="0" w:color="auto"/>
            </w:tcBorders>
            <w:vAlign w:val="center"/>
          </w:tcPr>
          <w:p w:rsidR="00C91E73" w:rsidRPr="00296A8E" w:rsidRDefault="00C91E73" w:rsidP="00C91E73">
            <w:pPr>
              <w:jc w:val="both"/>
              <w:rPr>
                <w:color w:val="000000"/>
              </w:rPr>
            </w:pPr>
            <w:r w:rsidRPr="00296A8E">
              <w:rPr>
                <w:color w:val="000000"/>
              </w:rPr>
              <w:t>招標機關</w:t>
            </w:r>
          </w:p>
        </w:tc>
        <w:tc>
          <w:tcPr>
            <w:tcW w:w="7363" w:type="dxa"/>
            <w:gridSpan w:val="3"/>
            <w:tcBorders>
              <w:right w:val="single" w:sz="12" w:space="0" w:color="auto"/>
            </w:tcBorders>
            <w:vAlign w:val="center"/>
          </w:tcPr>
          <w:p w:rsidR="00C91E73" w:rsidRPr="00296A8E" w:rsidRDefault="00A23286" w:rsidP="00CE65E3">
            <w:pPr>
              <w:jc w:val="both"/>
              <w:rPr>
                <w:color w:val="000000"/>
              </w:rPr>
            </w:pPr>
            <w:r>
              <w:rPr>
                <w:rFonts w:hint="eastAsia"/>
                <w:color w:val="000000"/>
              </w:rPr>
              <w:t>彰化縣政府</w:t>
            </w:r>
          </w:p>
        </w:tc>
      </w:tr>
      <w:tr w:rsidR="00C91E73" w:rsidRPr="00296A8E" w:rsidTr="00C91E73">
        <w:trPr>
          <w:cantSplit/>
          <w:trHeight w:val="55"/>
        </w:trPr>
        <w:tc>
          <w:tcPr>
            <w:tcW w:w="2160" w:type="dxa"/>
            <w:tcBorders>
              <w:left w:val="single" w:sz="12" w:space="0" w:color="auto"/>
            </w:tcBorders>
            <w:vAlign w:val="center"/>
          </w:tcPr>
          <w:p w:rsidR="00C91E73" w:rsidRPr="00296A8E" w:rsidRDefault="00C91E73" w:rsidP="00C91E73">
            <w:pPr>
              <w:jc w:val="both"/>
              <w:rPr>
                <w:rFonts w:ascii="標楷體" w:hAnsi="標楷體"/>
                <w:color w:val="000000"/>
              </w:rPr>
            </w:pPr>
            <w:r w:rsidRPr="00296A8E">
              <w:rPr>
                <w:color w:val="000000"/>
              </w:rPr>
              <w:t>招標機關地址</w:t>
            </w:r>
          </w:p>
        </w:tc>
        <w:tc>
          <w:tcPr>
            <w:tcW w:w="7363" w:type="dxa"/>
            <w:gridSpan w:val="3"/>
            <w:tcBorders>
              <w:right w:val="single" w:sz="12" w:space="0" w:color="auto"/>
            </w:tcBorders>
            <w:vAlign w:val="center"/>
          </w:tcPr>
          <w:p w:rsidR="00C91E73" w:rsidRPr="00296A8E" w:rsidRDefault="00890220" w:rsidP="00C91E73">
            <w:pPr>
              <w:jc w:val="both"/>
              <w:rPr>
                <w:color w:val="000000"/>
              </w:rPr>
            </w:pPr>
            <w:r>
              <w:rPr>
                <w:rFonts w:hint="eastAsia"/>
                <w:color w:val="000000"/>
              </w:rPr>
              <w:t>彰化市中山路二段</w:t>
            </w:r>
            <w:r w:rsidR="009644D5">
              <w:rPr>
                <w:rFonts w:hint="eastAsia"/>
                <w:color w:val="000000"/>
              </w:rPr>
              <w:t>416</w:t>
            </w:r>
            <w:r w:rsidR="009644D5">
              <w:rPr>
                <w:rFonts w:hint="eastAsia"/>
                <w:color w:val="000000"/>
              </w:rPr>
              <w:t>號</w:t>
            </w:r>
          </w:p>
        </w:tc>
      </w:tr>
      <w:tr w:rsidR="00C91E73" w:rsidRPr="00296A8E" w:rsidTr="00C91E73">
        <w:trPr>
          <w:cantSplit/>
          <w:trHeight w:val="80"/>
        </w:trPr>
        <w:tc>
          <w:tcPr>
            <w:tcW w:w="2160" w:type="dxa"/>
            <w:tcBorders>
              <w:left w:val="single" w:sz="12" w:space="0" w:color="auto"/>
            </w:tcBorders>
            <w:vAlign w:val="center"/>
          </w:tcPr>
          <w:p w:rsidR="00C91E73" w:rsidRPr="00296A8E" w:rsidRDefault="00C91E73" w:rsidP="00C91E73">
            <w:pPr>
              <w:jc w:val="both"/>
              <w:rPr>
                <w:color w:val="000000"/>
              </w:rPr>
            </w:pPr>
            <w:r w:rsidRPr="00296A8E">
              <w:rPr>
                <w:color w:val="000000"/>
              </w:rPr>
              <w:t>採購性質</w:t>
            </w:r>
          </w:p>
        </w:tc>
        <w:tc>
          <w:tcPr>
            <w:tcW w:w="7363" w:type="dxa"/>
            <w:gridSpan w:val="3"/>
            <w:tcBorders>
              <w:right w:val="single" w:sz="12" w:space="0" w:color="auto"/>
            </w:tcBorders>
            <w:vAlign w:val="center"/>
          </w:tcPr>
          <w:p w:rsidR="00C91E73" w:rsidRPr="00296A8E" w:rsidRDefault="00C91E73" w:rsidP="00A23286">
            <w:pPr>
              <w:jc w:val="both"/>
              <w:rPr>
                <w:color w:val="000000"/>
              </w:rPr>
            </w:pPr>
            <w:r w:rsidRPr="00296A8E">
              <w:rPr>
                <w:rFonts w:ascii="標楷體" w:hAnsi="標楷體"/>
                <w:color w:val="000000"/>
              </w:rPr>
              <w:t>□</w:t>
            </w:r>
            <w:r w:rsidRPr="00296A8E">
              <w:rPr>
                <w:color w:val="000000"/>
              </w:rPr>
              <w:t>工程</w:t>
            </w:r>
            <w:r w:rsidRPr="00296A8E">
              <w:rPr>
                <w:rFonts w:hint="eastAsia"/>
                <w:color w:val="000000"/>
              </w:rPr>
              <w:t xml:space="preserve">   </w:t>
            </w:r>
            <w:r w:rsidRPr="00296A8E">
              <w:rPr>
                <w:rFonts w:ascii="標楷體" w:hAnsi="標楷體"/>
                <w:color w:val="000000"/>
              </w:rPr>
              <w:t>□</w:t>
            </w:r>
            <w:r w:rsidRPr="00296A8E">
              <w:rPr>
                <w:color w:val="000000"/>
              </w:rPr>
              <w:t>財物</w:t>
            </w:r>
            <w:r w:rsidRPr="00296A8E">
              <w:rPr>
                <w:rFonts w:hint="eastAsia"/>
                <w:color w:val="000000"/>
              </w:rPr>
              <w:t xml:space="preserve">    </w:t>
            </w:r>
            <w:r w:rsidR="00A23286">
              <w:rPr>
                <w:rFonts w:ascii="標楷體" w:hAnsi="標楷體" w:hint="eastAsia"/>
                <w:color w:val="000000"/>
              </w:rPr>
              <w:t>▉</w:t>
            </w:r>
            <w:r w:rsidRPr="00296A8E">
              <w:rPr>
                <w:color w:val="000000"/>
              </w:rPr>
              <w:t>勞務</w:t>
            </w:r>
          </w:p>
        </w:tc>
      </w:tr>
      <w:tr w:rsidR="00C91E73" w:rsidRPr="00296A8E" w:rsidTr="00C91E73">
        <w:trPr>
          <w:trHeight w:val="20"/>
        </w:trPr>
        <w:tc>
          <w:tcPr>
            <w:tcW w:w="2160" w:type="dxa"/>
            <w:tcBorders>
              <w:left w:val="single" w:sz="12" w:space="0" w:color="auto"/>
            </w:tcBorders>
            <w:vAlign w:val="center"/>
          </w:tcPr>
          <w:p w:rsidR="00C91E73" w:rsidRPr="00296A8E" w:rsidRDefault="00C91E73" w:rsidP="00C91E73">
            <w:pPr>
              <w:jc w:val="both"/>
              <w:rPr>
                <w:color w:val="000000"/>
              </w:rPr>
            </w:pPr>
            <w:r w:rsidRPr="00296A8E">
              <w:rPr>
                <w:rFonts w:hint="eastAsia"/>
                <w:color w:val="000000"/>
              </w:rPr>
              <w:t>採購金額</w:t>
            </w:r>
          </w:p>
        </w:tc>
        <w:tc>
          <w:tcPr>
            <w:tcW w:w="2340" w:type="dxa"/>
            <w:vAlign w:val="center"/>
          </w:tcPr>
          <w:p w:rsidR="00C91E73" w:rsidRPr="00296A8E" w:rsidRDefault="00CE65E3" w:rsidP="00C91E73">
            <w:pPr>
              <w:jc w:val="both"/>
              <w:rPr>
                <w:color w:val="000000"/>
              </w:rPr>
            </w:pPr>
            <w:r>
              <w:rPr>
                <w:rFonts w:hint="eastAsia"/>
                <w:color w:val="000000"/>
              </w:rPr>
              <w:t>3,500</w:t>
            </w:r>
            <w:r>
              <w:rPr>
                <w:rFonts w:hint="eastAsia"/>
                <w:color w:val="000000"/>
              </w:rPr>
              <w:t>萬</w:t>
            </w:r>
            <w:r>
              <w:rPr>
                <w:rFonts w:hint="eastAsia"/>
                <w:color w:val="000000"/>
              </w:rPr>
              <w:t>2,294</w:t>
            </w:r>
            <w:r>
              <w:rPr>
                <w:rFonts w:hint="eastAsia"/>
                <w:color w:val="000000"/>
              </w:rPr>
              <w:t>元</w:t>
            </w:r>
          </w:p>
        </w:tc>
        <w:tc>
          <w:tcPr>
            <w:tcW w:w="1440" w:type="dxa"/>
            <w:vAlign w:val="center"/>
          </w:tcPr>
          <w:p w:rsidR="00C91E73" w:rsidRPr="00296A8E" w:rsidRDefault="00C91E73" w:rsidP="00C91E73">
            <w:pPr>
              <w:jc w:val="both"/>
              <w:rPr>
                <w:color w:val="000000"/>
              </w:rPr>
            </w:pPr>
            <w:r w:rsidRPr="00296A8E">
              <w:rPr>
                <w:color w:val="000000"/>
              </w:rPr>
              <w:t>預算金額</w:t>
            </w:r>
          </w:p>
        </w:tc>
        <w:tc>
          <w:tcPr>
            <w:tcW w:w="3583" w:type="dxa"/>
            <w:tcBorders>
              <w:right w:val="single" w:sz="12" w:space="0" w:color="auto"/>
            </w:tcBorders>
            <w:vAlign w:val="center"/>
          </w:tcPr>
          <w:p w:rsidR="00C91E73" w:rsidRPr="00296A8E" w:rsidRDefault="00CE65E3" w:rsidP="00C91E73">
            <w:pPr>
              <w:jc w:val="both"/>
              <w:rPr>
                <w:color w:val="000000"/>
              </w:rPr>
            </w:pPr>
            <w:r>
              <w:rPr>
                <w:rFonts w:hint="eastAsia"/>
                <w:color w:val="000000"/>
              </w:rPr>
              <w:t>3,500</w:t>
            </w:r>
            <w:r>
              <w:rPr>
                <w:rFonts w:hint="eastAsia"/>
                <w:color w:val="000000"/>
              </w:rPr>
              <w:t>萬</w:t>
            </w:r>
            <w:r>
              <w:rPr>
                <w:rFonts w:hint="eastAsia"/>
                <w:color w:val="000000"/>
              </w:rPr>
              <w:t>2,294</w:t>
            </w:r>
            <w:r>
              <w:rPr>
                <w:rFonts w:hint="eastAsia"/>
                <w:color w:val="000000"/>
              </w:rPr>
              <w:t>元</w:t>
            </w:r>
          </w:p>
        </w:tc>
      </w:tr>
      <w:tr w:rsidR="00C91E73" w:rsidRPr="00296A8E" w:rsidTr="00C91E73">
        <w:trPr>
          <w:cantSplit/>
          <w:trHeight w:val="55"/>
        </w:trPr>
        <w:tc>
          <w:tcPr>
            <w:tcW w:w="2160" w:type="dxa"/>
            <w:tcBorders>
              <w:left w:val="single" w:sz="12" w:space="0" w:color="auto"/>
            </w:tcBorders>
            <w:vAlign w:val="center"/>
          </w:tcPr>
          <w:p w:rsidR="00C91E73" w:rsidRPr="00296A8E" w:rsidRDefault="00C91E73" w:rsidP="00C91E73">
            <w:pPr>
              <w:jc w:val="both"/>
              <w:rPr>
                <w:color w:val="000000"/>
              </w:rPr>
            </w:pPr>
            <w:r w:rsidRPr="00296A8E">
              <w:rPr>
                <w:color w:val="000000"/>
              </w:rPr>
              <w:t>聯絡人（或單位）</w:t>
            </w:r>
          </w:p>
        </w:tc>
        <w:tc>
          <w:tcPr>
            <w:tcW w:w="2340" w:type="dxa"/>
            <w:vAlign w:val="center"/>
          </w:tcPr>
          <w:p w:rsidR="00905C90" w:rsidRDefault="00905C90" w:rsidP="00C91E73">
            <w:pPr>
              <w:jc w:val="both"/>
              <w:rPr>
                <w:color w:val="000000"/>
              </w:rPr>
            </w:pPr>
            <w:r>
              <w:rPr>
                <w:rFonts w:hint="eastAsia"/>
                <w:color w:val="000000"/>
              </w:rPr>
              <w:t>彰化縣衛生局</w:t>
            </w:r>
          </w:p>
          <w:p w:rsidR="00C91E73" w:rsidRPr="00296A8E" w:rsidRDefault="00905C90" w:rsidP="00C91E73">
            <w:pPr>
              <w:jc w:val="both"/>
              <w:rPr>
                <w:color w:val="000000"/>
              </w:rPr>
            </w:pPr>
            <w:r>
              <w:rPr>
                <w:rFonts w:hint="eastAsia"/>
                <w:color w:val="000000"/>
              </w:rPr>
              <w:t>長期照護科</w:t>
            </w:r>
          </w:p>
        </w:tc>
        <w:tc>
          <w:tcPr>
            <w:tcW w:w="1440" w:type="dxa"/>
            <w:vAlign w:val="center"/>
          </w:tcPr>
          <w:p w:rsidR="00C91E73" w:rsidRPr="00296A8E" w:rsidRDefault="00C91E73" w:rsidP="00C91E73">
            <w:pPr>
              <w:jc w:val="both"/>
              <w:rPr>
                <w:color w:val="000000"/>
              </w:rPr>
            </w:pPr>
            <w:r w:rsidRPr="00296A8E">
              <w:rPr>
                <w:color w:val="000000"/>
              </w:rPr>
              <w:t>電話</w:t>
            </w:r>
          </w:p>
        </w:tc>
        <w:tc>
          <w:tcPr>
            <w:tcW w:w="3583" w:type="dxa"/>
            <w:tcBorders>
              <w:right w:val="single" w:sz="12" w:space="0" w:color="auto"/>
            </w:tcBorders>
            <w:vAlign w:val="center"/>
          </w:tcPr>
          <w:p w:rsidR="00C91E73" w:rsidRPr="00296A8E" w:rsidRDefault="00C91E73" w:rsidP="00A23CFD">
            <w:pPr>
              <w:jc w:val="both"/>
              <w:rPr>
                <w:color w:val="000000"/>
              </w:rPr>
            </w:pPr>
            <w:r w:rsidRPr="00296A8E">
              <w:rPr>
                <w:rFonts w:hint="eastAsia"/>
                <w:color w:val="000000"/>
              </w:rPr>
              <w:t>0</w:t>
            </w:r>
            <w:r w:rsidR="00890220">
              <w:rPr>
                <w:rFonts w:hint="eastAsia"/>
                <w:color w:val="000000"/>
              </w:rPr>
              <w:t>4</w:t>
            </w:r>
            <w:r w:rsidRPr="00296A8E">
              <w:rPr>
                <w:rFonts w:hint="eastAsia"/>
                <w:color w:val="000000"/>
              </w:rPr>
              <w:t>-</w:t>
            </w:r>
            <w:r w:rsidR="00890220">
              <w:rPr>
                <w:rFonts w:hint="eastAsia"/>
                <w:color w:val="000000"/>
              </w:rPr>
              <w:t>7278503</w:t>
            </w:r>
            <w:r w:rsidRPr="00296A8E">
              <w:rPr>
                <w:rFonts w:hint="eastAsia"/>
                <w:color w:val="000000"/>
              </w:rPr>
              <w:t>轉</w:t>
            </w:r>
            <w:r w:rsidR="00E86FA9">
              <w:rPr>
                <w:rFonts w:hint="eastAsia"/>
                <w:color w:val="000000"/>
              </w:rPr>
              <w:t>605</w:t>
            </w:r>
          </w:p>
        </w:tc>
      </w:tr>
      <w:tr w:rsidR="00C91E73" w:rsidRPr="00296A8E" w:rsidTr="00C91E73">
        <w:trPr>
          <w:cantSplit/>
          <w:trHeight w:val="55"/>
        </w:trPr>
        <w:tc>
          <w:tcPr>
            <w:tcW w:w="2160" w:type="dxa"/>
            <w:tcBorders>
              <w:left w:val="single" w:sz="12" w:space="0" w:color="auto"/>
            </w:tcBorders>
            <w:vAlign w:val="center"/>
          </w:tcPr>
          <w:p w:rsidR="00C91E73" w:rsidRPr="00296A8E" w:rsidRDefault="00C91E73" w:rsidP="00C91E73">
            <w:pPr>
              <w:jc w:val="both"/>
              <w:rPr>
                <w:color w:val="000000"/>
              </w:rPr>
            </w:pPr>
            <w:r w:rsidRPr="00296A8E">
              <w:rPr>
                <w:color w:val="000000"/>
              </w:rPr>
              <w:t>電子郵遞信箱</w:t>
            </w:r>
          </w:p>
        </w:tc>
        <w:tc>
          <w:tcPr>
            <w:tcW w:w="7363" w:type="dxa"/>
            <w:gridSpan w:val="3"/>
            <w:tcBorders>
              <w:right w:val="single" w:sz="12" w:space="0" w:color="auto"/>
            </w:tcBorders>
            <w:vAlign w:val="center"/>
          </w:tcPr>
          <w:p w:rsidR="00C91E73" w:rsidRPr="00296A8E" w:rsidRDefault="00E86FA9" w:rsidP="00C91E73">
            <w:pPr>
              <w:jc w:val="both"/>
              <w:rPr>
                <w:color w:val="000000"/>
              </w:rPr>
            </w:pPr>
            <w:r>
              <w:rPr>
                <w:rFonts w:hint="eastAsia"/>
                <w:color w:val="000000"/>
              </w:rPr>
              <w:t>hy975</w:t>
            </w:r>
            <w:r w:rsidR="00890220">
              <w:rPr>
                <w:rFonts w:hint="eastAsia"/>
                <w:color w:val="000000"/>
              </w:rPr>
              <w:t>@mail.chshb.gov.tw</w:t>
            </w:r>
          </w:p>
        </w:tc>
      </w:tr>
      <w:tr w:rsidR="00C91E73" w:rsidRPr="00296A8E" w:rsidTr="00C91E73">
        <w:trPr>
          <w:trHeight w:val="20"/>
        </w:trPr>
        <w:tc>
          <w:tcPr>
            <w:tcW w:w="9523" w:type="dxa"/>
            <w:gridSpan w:val="4"/>
            <w:tcBorders>
              <w:left w:val="single" w:sz="12" w:space="0" w:color="auto"/>
              <w:bottom w:val="single" w:sz="4" w:space="0" w:color="auto"/>
              <w:right w:val="single" w:sz="12" w:space="0" w:color="auto"/>
            </w:tcBorders>
          </w:tcPr>
          <w:p w:rsidR="00C91E73" w:rsidRPr="00296A8E" w:rsidRDefault="00C91E73" w:rsidP="00C91E73">
            <w:pPr>
              <w:rPr>
                <w:color w:val="000000"/>
              </w:rPr>
            </w:pPr>
            <w:r w:rsidRPr="00296A8E">
              <w:rPr>
                <w:color w:val="000000"/>
              </w:rPr>
              <w:t>辦理採購前經簽准之預期使用情形及效益有無經過調整：</w:t>
            </w:r>
            <w:r w:rsidRPr="00296A8E">
              <w:rPr>
                <w:rFonts w:ascii="標楷體" w:hAnsi="標楷體"/>
                <w:color w:val="000000"/>
              </w:rPr>
              <w:t>□</w:t>
            </w:r>
            <w:r w:rsidRPr="00296A8E">
              <w:rPr>
                <w:color w:val="000000"/>
              </w:rPr>
              <w:t>無</w:t>
            </w:r>
            <w:r w:rsidRPr="00296A8E">
              <w:rPr>
                <w:rFonts w:hint="eastAsia"/>
                <w:color w:val="000000"/>
              </w:rPr>
              <w:t xml:space="preserve">  </w:t>
            </w:r>
            <w:r w:rsidRPr="00296A8E">
              <w:rPr>
                <w:rFonts w:ascii="標楷體" w:hAnsi="標楷體"/>
                <w:color w:val="000000"/>
              </w:rPr>
              <w:t>□</w:t>
            </w:r>
            <w:r w:rsidRPr="00296A8E">
              <w:rPr>
                <w:color w:val="000000"/>
              </w:rPr>
              <w:t>有</w:t>
            </w:r>
            <w:r w:rsidRPr="00296A8E">
              <w:rPr>
                <w:rFonts w:hint="eastAsia"/>
                <w:color w:val="000000"/>
              </w:rPr>
              <w:t>：原因：</w:t>
            </w:r>
          </w:p>
        </w:tc>
      </w:tr>
      <w:tr w:rsidR="00C91E73" w:rsidRPr="00533005" w:rsidTr="00C91E73">
        <w:trPr>
          <w:trHeight w:val="20"/>
        </w:trPr>
        <w:tc>
          <w:tcPr>
            <w:tcW w:w="9523" w:type="dxa"/>
            <w:gridSpan w:val="4"/>
            <w:tcBorders>
              <w:left w:val="single" w:sz="12" w:space="0" w:color="auto"/>
              <w:bottom w:val="nil"/>
              <w:right w:val="single" w:sz="12" w:space="0" w:color="auto"/>
            </w:tcBorders>
            <w:shd w:val="clear" w:color="auto" w:fill="FFFFFF"/>
          </w:tcPr>
          <w:p w:rsidR="00C91E73" w:rsidRPr="00533005" w:rsidRDefault="00C91E73" w:rsidP="00C91E73">
            <w:pPr>
              <w:rPr>
                <w:color w:val="000000"/>
                <w:shd w:val="pct15" w:color="auto" w:fill="FFFFFF"/>
              </w:rPr>
            </w:pPr>
            <w:r w:rsidRPr="00533005">
              <w:rPr>
                <w:color w:val="000000"/>
                <w:shd w:val="pct15" w:color="auto" w:fill="FFFFFF"/>
              </w:rPr>
              <w:t>巨額</w:t>
            </w:r>
            <w:r w:rsidRPr="00533005">
              <w:rPr>
                <w:rFonts w:hint="eastAsia"/>
                <w:color w:val="000000"/>
                <w:shd w:val="pct15" w:color="auto" w:fill="FFFFFF"/>
              </w:rPr>
              <w:t>採購前預期</w:t>
            </w:r>
            <w:r w:rsidRPr="00533005">
              <w:rPr>
                <w:color w:val="000000"/>
                <w:shd w:val="pct15" w:color="auto" w:fill="FFFFFF"/>
              </w:rPr>
              <w:t>效益</w:t>
            </w:r>
            <w:r w:rsidRPr="00533005">
              <w:rPr>
                <w:rFonts w:hint="eastAsia"/>
                <w:color w:val="000000"/>
                <w:shd w:val="pct15" w:color="auto" w:fill="FFFFFF"/>
              </w:rPr>
              <w:t>評估</w:t>
            </w:r>
            <w:r w:rsidRPr="00533005">
              <w:rPr>
                <w:color w:val="000000"/>
                <w:shd w:val="pct15" w:color="auto" w:fill="FFFFFF"/>
              </w:rPr>
              <w:t>附加說明</w:t>
            </w:r>
            <w:r w:rsidRPr="00533005">
              <w:rPr>
                <w:rFonts w:hint="eastAsia"/>
                <w:color w:val="000000"/>
                <w:shd w:val="pct15" w:color="auto" w:fill="FFFFFF"/>
              </w:rPr>
              <w:t>：</w:t>
            </w:r>
          </w:p>
        </w:tc>
      </w:tr>
      <w:tr w:rsidR="00C91E73" w:rsidRPr="00296A8E" w:rsidTr="00C91E73">
        <w:trPr>
          <w:trHeight w:val="20"/>
        </w:trPr>
        <w:tc>
          <w:tcPr>
            <w:tcW w:w="9523" w:type="dxa"/>
            <w:gridSpan w:val="4"/>
            <w:tcBorders>
              <w:top w:val="nil"/>
              <w:left w:val="single" w:sz="12" w:space="0" w:color="auto"/>
              <w:bottom w:val="single" w:sz="12" w:space="0" w:color="auto"/>
              <w:right w:val="single" w:sz="12" w:space="0" w:color="auto"/>
            </w:tcBorders>
          </w:tcPr>
          <w:p w:rsidR="00C91E73" w:rsidRPr="002C063D" w:rsidRDefault="00C91E73" w:rsidP="00C91E73">
            <w:pPr>
              <w:widowControl/>
              <w:spacing w:line="0" w:lineRule="atLeast"/>
              <w:rPr>
                <w:b/>
                <w:color w:val="000000"/>
                <w:kern w:val="0"/>
              </w:rPr>
            </w:pPr>
            <w:r w:rsidRPr="002C063D">
              <w:rPr>
                <w:rFonts w:hint="eastAsia"/>
                <w:b/>
                <w:color w:val="000000"/>
                <w:kern w:val="0"/>
              </w:rPr>
              <w:t>一</w:t>
            </w:r>
            <w:r w:rsidRPr="002C063D">
              <w:rPr>
                <w:b/>
                <w:color w:val="000000"/>
                <w:kern w:val="0"/>
              </w:rPr>
              <w:t>、</w:t>
            </w:r>
            <w:r w:rsidRPr="002C063D">
              <w:rPr>
                <w:b/>
                <w:color w:val="000000"/>
                <w:kern w:val="0"/>
              </w:rPr>
              <w:t>[</w:t>
            </w:r>
            <w:r w:rsidRPr="002C063D">
              <w:rPr>
                <w:rFonts w:hint="eastAsia"/>
                <w:b/>
                <w:color w:val="000000"/>
                <w:kern w:val="0"/>
              </w:rPr>
              <w:t>預期使用情形、及效益目標</w:t>
            </w:r>
            <w:r w:rsidRPr="002C063D">
              <w:rPr>
                <w:b/>
                <w:color w:val="000000"/>
                <w:kern w:val="0"/>
              </w:rPr>
              <w:t>]</w:t>
            </w:r>
            <w:r w:rsidRPr="002C063D">
              <w:rPr>
                <w:b/>
                <w:color w:val="000000"/>
                <w:kern w:val="0"/>
              </w:rPr>
              <w:t>：</w:t>
            </w:r>
          </w:p>
          <w:p w:rsidR="0051065A" w:rsidRPr="003B1A14" w:rsidRDefault="0051065A" w:rsidP="002C063D">
            <w:pPr>
              <w:spacing w:beforeLines="50" w:before="180" w:line="0" w:lineRule="atLeast"/>
              <w:rPr>
                <w:color w:val="000000" w:themeColor="text1"/>
                <w:kern w:val="0"/>
              </w:rPr>
            </w:pPr>
            <w:r w:rsidRPr="003B1A14">
              <w:rPr>
                <w:rFonts w:hint="eastAsia"/>
                <w:color w:val="000000" w:themeColor="text1"/>
                <w:kern w:val="0"/>
              </w:rPr>
              <w:t>本計畫工程主要內容為興建</w:t>
            </w:r>
            <w:r w:rsidRPr="003B1A14">
              <w:rPr>
                <w:color w:val="000000" w:themeColor="text1"/>
                <w:kern w:val="0"/>
              </w:rPr>
              <w:t>地下</w:t>
            </w:r>
            <w:r w:rsidRPr="003B1A14">
              <w:rPr>
                <w:color w:val="000000" w:themeColor="text1"/>
                <w:kern w:val="0"/>
              </w:rPr>
              <w:t>3</w:t>
            </w:r>
            <w:r w:rsidRPr="003B1A14">
              <w:rPr>
                <w:color w:val="000000" w:themeColor="text1"/>
                <w:kern w:val="0"/>
              </w:rPr>
              <w:t>層地上</w:t>
            </w:r>
            <w:r w:rsidRPr="003B1A14">
              <w:rPr>
                <w:color w:val="000000" w:themeColor="text1"/>
                <w:kern w:val="0"/>
              </w:rPr>
              <w:t>10</w:t>
            </w:r>
            <w:r w:rsidRPr="003B1A14">
              <w:rPr>
                <w:color w:val="000000" w:themeColor="text1"/>
                <w:kern w:val="0"/>
              </w:rPr>
              <w:t>層樓建築物</w:t>
            </w:r>
            <w:r w:rsidRPr="003B1A14">
              <w:rPr>
                <w:rFonts w:hint="eastAsia"/>
                <w:color w:val="000000" w:themeColor="text1"/>
                <w:kern w:val="0"/>
              </w:rPr>
              <w:t>，包括三大部分：</w:t>
            </w:r>
          </w:p>
          <w:p w:rsidR="0051065A" w:rsidRPr="002C063D" w:rsidRDefault="003B1A14" w:rsidP="00BA7A99">
            <w:pPr>
              <w:spacing w:line="0" w:lineRule="atLeast"/>
              <w:rPr>
                <w:color w:val="000000" w:themeColor="text1"/>
                <w:kern w:val="0"/>
              </w:rPr>
            </w:pPr>
            <w:r w:rsidRPr="002C063D">
              <w:rPr>
                <w:rFonts w:hint="eastAsia"/>
                <w:b/>
                <w:color w:val="000000" w:themeColor="text1"/>
                <w:kern w:val="0"/>
              </w:rPr>
              <w:t>(</w:t>
            </w:r>
            <w:r w:rsidRPr="002C063D">
              <w:rPr>
                <w:rFonts w:hint="eastAsia"/>
                <w:b/>
                <w:color w:val="000000" w:themeColor="text1"/>
                <w:kern w:val="0"/>
              </w:rPr>
              <w:t>一</w:t>
            </w:r>
            <w:r w:rsidRPr="002C063D">
              <w:rPr>
                <w:rFonts w:hint="eastAsia"/>
                <w:b/>
                <w:color w:val="000000" w:themeColor="text1"/>
                <w:kern w:val="0"/>
              </w:rPr>
              <w:t>)</w:t>
            </w:r>
            <w:r w:rsidR="0051065A" w:rsidRPr="002C063D">
              <w:rPr>
                <w:rFonts w:hint="eastAsia"/>
                <w:b/>
                <w:color w:val="000000" w:themeColor="text1"/>
                <w:kern w:val="0"/>
              </w:rPr>
              <w:t>長期照護</w:t>
            </w:r>
            <w:r w:rsidR="0051065A" w:rsidRPr="002C063D">
              <w:rPr>
                <w:rFonts w:hint="eastAsia"/>
                <w:b/>
                <w:color w:val="000000" w:themeColor="text1"/>
                <w:kern w:val="0"/>
              </w:rPr>
              <w:t>2.0</w:t>
            </w:r>
            <w:r w:rsidR="0051065A" w:rsidRPr="002C063D">
              <w:rPr>
                <w:rFonts w:hint="eastAsia"/>
                <w:b/>
                <w:color w:val="000000" w:themeColor="text1"/>
                <w:kern w:val="0"/>
              </w:rPr>
              <w:t>多功能服務中心</w:t>
            </w:r>
            <w:r w:rsidR="00BA7A99" w:rsidRPr="002C063D">
              <w:rPr>
                <w:rFonts w:hint="eastAsia"/>
                <w:b/>
                <w:color w:val="000000" w:themeColor="text1"/>
                <w:kern w:val="0"/>
              </w:rPr>
              <w:t>:</w:t>
            </w:r>
          </w:p>
          <w:p w:rsidR="00BA7A99" w:rsidRPr="002C063D" w:rsidRDefault="00BA7A99" w:rsidP="00BA7A99">
            <w:pPr>
              <w:widowControl/>
              <w:spacing w:line="0" w:lineRule="atLeast"/>
              <w:rPr>
                <w:color w:val="000000" w:themeColor="text1"/>
                <w:kern w:val="0"/>
              </w:rPr>
            </w:pPr>
            <w:r w:rsidRPr="00E50977">
              <w:rPr>
                <w:rFonts w:hint="eastAsia"/>
                <w:b/>
                <w:color w:val="000000" w:themeColor="text1"/>
                <w:kern w:val="0"/>
              </w:rPr>
              <w:t>預期使用情形</w:t>
            </w:r>
            <w:r w:rsidRPr="00E50977">
              <w:rPr>
                <w:rFonts w:hint="eastAsia"/>
                <w:b/>
                <w:color w:val="000000" w:themeColor="text1"/>
                <w:kern w:val="0"/>
              </w:rPr>
              <w:t>:</w:t>
            </w:r>
            <w:r w:rsidRPr="002C063D">
              <w:rPr>
                <w:rFonts w:hint="eastAsia"/>
                <w:color w:val="000000" w:themeColor="text1"/>
                <w:kern w:val="0"/>
              </w:rPr>
              <w:t>每年預計服務</w:t>
            </w:r>
            <w:r w:rsidRPr="002C063D">
              <w:rPr>
                <w:rFonts w:hint="eastAsia"/>
                <w:color w:val="000000" w:themeColor="text1"/>
                <w:kern w:val="0"/>
              </w:rPr>
              <w:t>65</w:t>
            </w:r>
            <w:r w:rsidRPr="002C063D">
              <w:rPr>
                <w:rFonts w:hint="eastAsia"/>
                <w:color w:val="000000" w:themeColor="text1"/>
                <w:kern w:val="0"/>
              </w:rPr>
              <w:t>歲以上長輩</w:t>
            </w:r>
            <w:r w:rsidRPr="002C063D">
              <w:rPr>
                <w:rFonts w:hint="eastAsia"/>
                <w:color w:val="000000" w:themeColor="text1"/>
                <w:kern w:val="0"/>
              </w:rPr>
              <w:t>15</w:t>
            </w:r>
            <w:r w:rsidR="00A23CFD" w:rsidRPr="0019502C">
              <w:rPr>
                <w:rFonts w:hint="eastAsia"/>
                <w:color w:val="000000"/>
              </w:rPr>
              <w:t>,</w:t>
            </w:r>
            <w:r w:rsidRPr="002C063D">
              <w:rPr>
                <w:rFonts w:hint="eastAsia"/>
                <w:color w:val="000000" w:themeColor="text1"/>
                <w:kern w:val="0"/>
              </w:rPr>
              <w:t>120</w:t>
            </w:r>
            <w:r w:rsidRPr="002C063D">
              <w:rPr>
                <w:rFonts w:hint="eastAsia"/>
                <w:color w:val="000000" w:themeColor="text1"/>
                <w:kern w:val="0"/>
              </w:rPr>
              <w:t>人次</w:t>
            </w:r>
            <w:r w:rsidR="00AD32D7" w:rsidRPr="002C063D">
              <w:rPr>
                <w:rFonts w:hint="eastAsia"/>
                <w:color w:val="000000" w:themeColor="text1"/>
                <w:kern w:val="0"/>
              </w:rPr>
              <w:t>。</w:t>
            </w:r>
          </w:p>
          <w:p w:rsidR="00BA7A99" w:rsidRPr="002C063D" w:rsidRDefault="00AD32D7" w:rsidP="00BA7A99">
            <w:pPr>
              <w:spacing w:line="0" w:lineRule="atLeast"/>
              <w:rPr>
                <w:color w:val="000000" w:themeColor="text1"/>
                <w:kern w:val="0"/>
              </w:rPr>
            </w:pPr>
            <w:r w:rsidRPr="00E50977">
              <w:rPr>
                <w:rFonts w:cs="標楷體" w:hint="eastAsia"/>
                <w:b/>
                <w:color w:val="000000" w:themeColor="text1"/>
              </w:rPr>
              <w:t>效益</w:t>
            </w:r>
            <w:r w:rsidR="00BA7A99" w:rsidRPr="00E50977">
              <w:rPr>
                <w:rFonts w:hint="eastAsia"/>
                <w:b/>
                <w:color w:val="000000" w:themeColor="text1"/>
                <w:kern w:val="0"/>
              </w:rPr>
              <w:t>目標</w:t>
            </w:r>
            <w:r w:rsidR="00BA7A99" w:rsidRPr="00E50977">
              <w:rPr>
                <w:rFonts w:hint="eastAsia"/>
                <w:b/>
                <w:color w:val="000000" w:themeColor="text1"/>
                <w:kern w:val="0"/>
              </w:rPr>
              <w:t>:</w:t>
            </w:r>
            <w:r w:rsidR="00BA7A99" w:rsidRPr="002C063D">
              <w:rPr>
                <w:rFonts w:hint="eastAsia"/>
                <w:color w:val="000000" w:themeColor="text1"/>
                <w:kern w:val="0"/>
              </w:rPr>
              <w:t>提升長照資源發展，提供民眾整合、多元、便利之服務。</w:t>
            </w:r>
          </w:p>
          <w:p w:rsidR="00BA7A99" w:rsidRPr="002C063D" w:rsidRDefault="00BA7A99" w:rsidP="00BA7A99">
            <w:pPr>
              <w:spacing w:line="0" w:lineRule="atLeast"/>
              <w:rPr>
                <w:color w:val="FF0000"/>
                <w:kern w:val="0"/>
              </w:rPr>
            </w:pPr>
          </w:p>
          <w:p w:rsidR="003B1A14" w:rsidRPr="002C063D" w:rsidRDefault="003B1A14" w:rsidP="00FC51CA">
            <w:pPr>
              <w:spacing w:line="0" w:lineRule="atLeast"/>
              <w:ind w:left="240" w:hangingChars="100" w:hanging="240"/>
              <w:rPr>
                <w:b/>
                <w:color w:val="000000" w:themeColor="text1"/>
                <w:kern w:val="0"/>
              </w:rPr>
            </w:pPr>
            <w:r w:rsidRPr="002C063D">
              <w:rPr>
                <w:rFonts w:hint="eastAsia"/>
                <w:b/>
                <w:color w:val="000000" w:themeColor="text1"/>
                <w:kern w:val="0"/>
              </w:rPr>
              <w:t>(</w:t>
            </w:r>
            <w:r w:rsidRPr="002C063D">
              <w:rPr>
                <w:rFonts w:hint="eastAsia"/>
                <w:b/>
                <w:color w:val="000000" w:themeColor="text1"/>
                <w:kern w:val="0"/>
              </w:rPr>
              <w:t>二</w:t>
            </w:r>
            <w:r w:rsidRPr="002C063D">
              <w:rPr>
                <w:rFonts w:hint="eastAsia"/>
                <w:b/>
                <w:color w:val="000000" w:themeColor="text1"/>
                <w:kern w:val="0"/>
              </w:rPr>
              <w:t>)</w:t>
            </w:r>
            <w:r w:rsidRPr="002C063D">
              <w:rPr>
                <w:rFonts w:hint="eastAsia"/>
                <w:b/>
                <w:color w:val="000000" w:themeColor="text1"/>
                <w:kern w:val="0"/>
              </w:rPr>
              <w:t>社會福利相關辦公空間</w:t>
            </w:r>
            <w:r w:rsidRPr="002C063D">
              <w:rPr>
                <w:rFonts w:hint="eastAsia"/>
                <w:b/>
                <w:color w:val="000000" w:themeColor="text1"/>
                <w:kern w:val="0"/>
              </w:rPr>
              <w:t>:</w:t>
            </w:r>
          </w:p>
          <w:p w:rsidR="003B1A14" w:rsidRPr="002C063D" w:rsidRDefault="0051065A" w:rsidP="00117CB4">
            <w:pPr>
              <w:spacing w:line="0" w:lineRule="atLeast"/>
              <w:ind w:hanging="238"/>
              <w:rPr>
                <w:color w:val="000000" w:themeColor="text1"/>
                <w:kern w:val="0"/>
              </w:rPr>
            </w:pPr>
            <w:r w:rsidRPr="002C063D">
              <w:rPr>
                <w:rFonts w:hint="eastAsia"/>
                <w:color w:val="FF0000"/>
                <w:kern w:val="0"/>
              </w:rPr>
              <w:t>本</w:t>
            </w:r>
            <w:r w:rsidR="003B1A14" w:rsidRPr="002C063D">
              <w:rPr>
                <w:rFonts w:hint="eastAsia"/>
                <w:color w:val="000000" w:themeColor="text1"/>
                <w:kern w:val="0"/>
              </w:rPr>
              <w:t>1.</w:t>
            </w:r>
            <w:r w:rsidR="003B1A14" w:rsidRPr="002C063D">
              <w:rPr>
                <w:rFonts w:hint="eastAsia"/>
                <w:color w:val="000000" w:themeColor="text1"/>
                <w:kern w:val="0"/>
              </w:rPr>
              <w:t>社會處辦公空間</w:t>
            </w:r>
            <w:r w:rsidR="003B1A14" w:rsidRPr="002C063D">
              <w:rPr>
                <w:rFonts w:hint="eastAsia"/>
                <w:color w:val="000000" w:themeColor="text1"/>
                <w:kern w:val="0"/>
              </w:rPr>
              <w:t>:</w:t>
            </w:r>
          </w:p>
          <w:p w:rsidR="003B1A14" w:rsidRPr="002C063D" w:rsidRDefault="003B1A14" w:rsidP="00E50977">
            <w:pPr>
              <w:widowControl/>
              <w:spacing w:line="0" w:lineRule="atLeast"/>
              <w:ind w:left="1682" w:hangingChars="700" w:hanging="1682"/>
              <w:rPr>
                <w:color w:val="000000" w:themeColor="text1"/>
                <w:kern w:val="0"/>
              </w:rPr>
            </w:pPr>
            <w:r w:rsidRPr="00E50977">
              <w:rPr>
                <w:rFonts w:hint="eastAsia"/>
                <w:b/>
                <w:color w:val="000000" w:themeColor="text1"/>
                <w:kern w:val="0"/>
              </w:rPr>
              <w:t>預期使用情形：</w:t>
            </w:r>
            <w:r w:rsidRPr="002C063D">
              <w:rPr>
                <w:rFonts w:hint="eastAsia"/>
                <w:color w:val="000000" w:themeColor="text1"/>
                <w:kern w:val="0"/>
              </w:rPr>
              <w:t>因應既有辦公空間日漸不足使用及科室分散問題，預計本棟大樓每日約</w:t>
            </w:r>
            <w:r w:rsidRPr="002C063D">
              <w:rPr>
                <w:rFonts w:hint="eastAsia"/>
                <w:color w:val="000000" w:themeColor="text1"/>
                <w:kern w:val="0"/>
              </w:rPr>
              <w:t>3</w:t>
            </w:r>
            <w:r w:rsidRPr="002C063D">
              <w:rPr>
                <w:color w:val="000000" w:themeColor="text1"/>
                <w:kern w:val="0"/>
              </w:rPr>
              <w:t>66</w:t>
            </w:r>
            <w:r w:rsidRPr="002C063D">
              <w:rPr>
                <w:rFonts w:hint="eastAsia"/>
                <w:color w:val="000000" w:themeColor="text1"/>
                <w:kern w:val="0"/>
              </w:rPr>
              <w:t>人進駐辦公。</w:t>
            </w:r>
          </w:p>
          <w:p w:rsidR="003B1A14" w:rsidRPr="002C063D" w:rsidRDefault="006F1610" w:rsidP="003B1A14">
            <w:pPr>
              <w:widowControl/>
              <w:spacing w:line="0" w:lineRule="atLeast"/>
              <w:rPr>
                <w:color w:val="000000" w:themeColor="text1"/>
                <w:kern w:val="0"/>
              </w:rPr>
            </w:pPr>
            <w:r w:rsidRPr="00E50977">
              <w:rPr>
                <w:rFonts w:cs="標楷體" w:hint="eastAsia"/>
                <w:b/>
                <w:color w:val="000000" w:themeColor="text1"/>
              </w:rPr>
              <w:t>效益</w:t>
            </w:r>
            <w:r w:rsidR="003B1A14" w:rsidRPr="00E50977">
              <w:rPr>
                <w:rFonts w:hint="eastAsia"/>
                <w:b/>
                <w:color w:val="000000" w:themeColor="text1"/>
                <w:kern w:val="0"/>
              </w:rPr>
              <w:t>目標：</w:t>
            </w:r>
            <w:r w:rsidR="003B1A14" w:rsidRPr="002C063D">
              <w:rPr>
                <w:rFonts w:hint="eastAsia"/>
                <w:color w:val="000000" w:themeColor="text1"/>
                <w:kern w:val="0"/>
              </w:rPr>
              <w:t>提供整合式及單一窗口服務，提昇服務品質。</w:t>
            </w:r>
          </w:p>
          <w:p w:rsidR="00F85731" w:rsidRPr="001A5462" w:rsidRDefault="003B1A14" w:rsidP="0051065A">
            <w:pPr>
              <w:spacing w:line="0" w:lineRule="atLeast"/>
              <w:rPr>
                <w:color w:val="000000" w:themeColor="text1"/>
                <w:kern w:val="0"/>
              </w:rPr>
            </w:pPr>
            <w:r w:rsidRPr="001A5462">
              <w:rPr>
                <w:rFonts w:hint="eastAsia"/>
                <w:color w:val="000000" w:themeColor="text1"/>
                <w:kern w:val="0"/>
              </w:rPr>
              <w:t>2.</w:t>
            </w:r>
            <w:r w:rsidRPr="001A5462">
              <w:rPr>
                <w:rFonts w:hint="eastAsia"/>
                <w:color w:val="000000" w:themeColor="text1"/>
                <w:kern w:val="0"/>
              </w:rPr>
              <w:t>衛生局辦公空間</w:t>
            </w:r>
            <w:r w:rsidRPr="001A5462">
              <w:rPr>
                <w:rFonts w:hint="eastAsia"/>
                <w:color w:val="000000" w:themeColor="text1"/>
                <w:kern w:val="0"/>
              </w:rPr>
              <w:t>:</w:t>
            </w:r>
          </w:p>
          <w:p w:rsidR="003B1A14" w:rsidRPr="001A5462" w:rsidRDefault="003B1A14" w:rsidP="00E50977">
            <w:pPr>
              <w:widowControl/>
              <w:spacing w:line="0" w:lineRule="atLeast"/>
              <w:ind w:left="1682" w:hangingChars="700" w:hanging="1682"/>
              <w:rPr>
                <w:color w:val="000000" w:themeColor="text1"/>
                <w:kern w:val="0"/>
              </w:rPr>
            </w:pPr>
            <w:r w:rsidRPr="00E50977">
              <w:rPr>
                <w:rFonts w:hint="eastAsia"/>
                <w:b/>
                <w:color w:val="000000" w:themeColor="text1"/>
                <w:kern w:val="0"/>
              </w:rPr>
              <w:t>預期使用情形：</w:t>
            </w:r>
            <w:r w:rsidR="00117CB4" w:rsidRPr="001A5462">
              <w:rPr>
                <w:rFonts w:hint="eastAsia"/>
                <w:color w:val="000000" w:themeColor="text1"/>
                <w:kern w:val="0"/>
              </w:rPr>
              <w:t>為整合社會安全網、長照中心、自殺防治中心、毒品危害防制中心等業務所需社會福利相關辦公空間</w:t>
            </w:r>
            <w:r w:rsidR="00A16A3D" w:rsidRPr="002C063D">
              <w:rPr>
                <w:rFonts w:hint="eastAsia"/>
                <w:color w:val="000000" w:themeColor="text1"/>
                <w:kern w:val="0"/>
              </w:rPr>
              <w:t>。</w:t>
            </w:r>
            <w:bookmarkStart w:id="1" w:name="_GoBack"/>
            <w:bookmarkEnd w:id="1"/>
          </w:p>
          <w:p w:rsidR="003B1A14" w:rsidRPr="001A5462" w:rsidRDefault="00E50977" w:rsidP="0051065A">
            <w:pPr>
              <w:spacing w:line="0" w:lineRule="atLeast"/>
              <w:rPr>
                <w:color w:val="000000" w:themeColor="text1"/>
                <w:kern w:val="0"/>
              </w:rPr>
            </w:pPr>
            <w:r w:rsidRPr="00E50977">
              <w:rPr>
                <w:rFonts w:cs="標楷體" w:hint="eastAsia"/>
                <w:b/>
                <w:color w:val="000000" w:themeColor="text1"/>
              </w:rPr>
              <w:t>效益</w:t>
            </w:r>
            <w:r w:rsidR="003B1A14" w:rsidRPr="00E50977">
              <w:rPr>
                <w:rFonts w:hint="eastAsia"/>
                <w:b/>
                <w:color w:val="000000" w:themeColor="text1"/>
                <w:kern w:val="0"/>
              </w:rPr>
              <w:t>目標：</w:t>
            </w:r>
            <w:r w:rsidR="00117CB4" w:rsidRPr="001A5462">
              <w:rPr>
                <w:rFonts w:hint="eastAsia"/>
                <w:color w:val="000000" w:themeColor="text1"/>
                <w:kern w:val="0"/>
              </w:rPr>
              <w:t>提供便捷、快速及整合式社福服務，提昇行政效率。</w:t>
            </w:r>
          </w:p>
          <w:p w:rsidR="00977DC7" w:rsidRPr="002C063D" w:rsidRDefault="00782564" w:rsidP="00977DC7">
            <w:pPr>
              <w:rPr>
                <w:b/>
                <w:color w:val="000000"/>
                <w:kern w:val="0"/>
              </w:rPr>
            </w:pPr>
            <w:r w:rsidRPr="002C063D">
              <w:rPr>
                <w:rFonts w:hint="eastAsia"/>
                <w:b/>
                <w:color w:val="000000"/>
                <w:kern w:val="0"/>
              </w:rPr>
              <w:t>(</w:t>
            </w:r>
            <w:r w:rsidRPr="002C063D">
              <w:rPr>
                <w:rFonts w:hint="eastAsia"/>
                <w:b/>
                <w:color w:val="000000"/>
                <w:kern w:val="0"/>
              </w:rPr>
              <w:t>三</w:t>
            </w:r>
            <w:r w:rsidRPr="002C063D">
              <w:rPr>
                <w:rFonts w:hint="eastAsia"/>
                <w:b/>
                <w:color w:val="000000"/>
                <w:kern w:val="0"/>
              </w:rPr>
              <w:t>)</w:t>
            </w:r>
            <w:r w:rsidR="00977DC7" w:rsidRPr="002C063D">
              <w:rPr>
                <w:rFonts w:hint="eastAsia"/>
                <w:b/>
                <w:color w:val="000000"/>
                <w:kern w:val="0"/>
              </w:rPr>
              <w:t>食</w:t>
            </w:r>
            <w:r w:rsidR="00977DC7" w:rsidRPr="002C063D">
              <w:rPr>
                <w:b/>
                <w:color w:val="000000"/>
                <w:kern w:val="0"/>
              </w:rPr>
              <w:t>安檢驗室：</w:t>
            </w:r>
          </w:p>
          <w:p w:rsidR="00977DC7" w:rsidRPr="002C063D" w:rsidRDefault="00977DC7" w:rsidP="00977DC7">
            <w:pPr>
              <w:snapToGrid w:val="0"/>
              <w:spacing w:line="360" w:lineRule="auto"/>
              <w:ind w:left="1682" w:hangingChars="700" w:hanging="1682"/>
              <w:jc w:val="both"/>
              <w:rPr>
                <w:rFonts w:cs="標楷體"/>
                <w:b/>
              </w:rPr>
            </w:pPr>
            <w:r w:rsidRPr="002C063D">
              <w:rPr>
                <w:rFonts w:cs="標楷體" w:hint="eastAsia"/>
                <w:b/>
              </w:rPr>
              <w:t>預</w:t>
            </w:r>
            <w:r w:rsidRPr="002C063D">
              <w:rPr>
                <w:rFonts w:cs="標楷體"/>
                <w:b/>
              </w:rPr>
              <w:t>期使用情形：</w:t>
            </w:r>
          </w:p>
          <w:p w:rsidR="0093734A" w:rsidRPr="00053984" w:rsidRDefault="0093734A" w:rsidP="0093734A">
            <w:pPr>
              <w:spacing w:line="0" w:lineRule="atLeast"/>
              <w:rPr>
                <w:color w:val="000000"/>
                <w:kern w:val="0"/>
              </w:rPr>
            </w:pPr>
            <w:r w:rsidRPr="00053984">
              <w:rPr>
                <w:rFonts w:hint="eastAsia"/>
                <w:color w:val="000000"/>
                <w:kern w:val="0"/>
              </w:rPr>
              <w:t>提升食品衛生檢驗中央地方分工項目表可自行檢驗技術，通過衛福部食藥署認證，提升衛生局檢驗品質及公信力，全面落實檢驗業務地方化</w:t>
            </w:r>
            <w:r w:rsidRPr="00053984">
              <w:rPr>
                <w:color w:val="000000"/>
                <w:kern w:val="0"/>
              </w:rPr>
              <w:t>。</w:t>
            </w:r>
          </w:p>
          <w:p w:rsidR="00977DC7" w:rsidRPr="002C063D" w:rsidRDefault="00977DC7" w:rsidP="00977DC7">
            <w:pPr>
              <w:snapToGrid w:val="0"/>
              <w:spacing w:line="360" w:lineRule="auto"/>
              <w:ind w:left="1682" w:hangingChars="700" w:hanging="1682"/>
              <w:jc w:val="both"/>
            </w:pPr>
            <w:r w:rsidRPr="002C063D">
              <w:rPr>
                <w:rFonts w:cs="標楷體" w:hint="eastAsia"/>
                <w:b/>
              </w:rPr>
              <w:t>效益</w:t>
            </w:r>
            <w:r w:rsidRPr="002C063D">
              <w:rPr>
                <w:rFonts w:cs="標楷體"/>
                <w:b/>
              </w:rPr>
              <w:t>目標</w:t>
            </w:r>
            <w:r w:rsidRPr="002C063D">
              <w:t>：</w:t>
            </w:r>
          </w:p>
          <w:p w:rsidR="00977DC7" w:rsidRPr="00977DC7" w:rsidRDefault="00977DC7" w:rsidP="00977DC7">
            <w:pPr>
              <w:tabs>
                <w:tab w:val="left" w:pos="720"/>
              </w:tabs>
              <w:snapToGrid w:val="0"/>
              <w:spacing w:line="0" w:lineRule="atLeast"/>
              <w:jc w:val="both"/>
              <w:rPr>
                <w:rFonts w:hAnsi="標楷體"/>
              </w:rPr>
            </w:pPr>
            <w:r w:rsidRPr="00977DC7">
              <w:rPr>
                <w:rFonts w:hAnsi="標楷體" w:hint="eastAsia"/>
              </w:rPr>
              <w:t>1.</w:t>
            </w:r>
            <w:r w:rsidRPr="00977DC7">
              <w:rPr>
                <w:rFonts w:hAnsi="標楷體" w:hint="eastAsia"/>
              </w:rPr>
              <w:t>配合中央政策建構並強化聯合分工檢驗體系之責</w:t>
            </w:r>
          </w:p>
          <w:p w:rsidR="00977DC7" w:rsidRPr="00977DC7" w:rsidRDefault="00977DC7" w:rsidP="00977DC7">
            <w:pPr>
              <w:tabs>
                <w:tab w:val="left" w:pos="1440"/>
              </w:tabs>
              <w:snapToGrid w:val="0"/>
              <w:spacing w:line="0" w:lineRule="atLeast"/>
              <w:ind w:leftChars="100" w:left="240"/>
              <w:jc w:val="both"/>
              <w:rPr>
                <w:rFonts w:hAnsi="標楷體"/>
              </w:rPr>
            </w:pPr>
            <w:r w:rsidRPr="00977DC7">
              <w:rPr>
                <w:rFonts w:hAnsi="標楷體" w:hint="eastAsia"/>
              </w:rPr>
              <w:t>強化專責聯合檢驗分工項目，擴增實驗室網絡量能及效能，並依時限完成檢驗報告。</w:t>
            </w:r>
          </w:p>
          <w:p w:rsidR="00977DC7" w:rsidRPr="00977DC7" w:rsidRDefault="00977DC7" w:rsidP="00977DC7">
            <w:pPr>
              <w:snapToGrid w:val="0"/>
              <w:spacing w:line="0" w:lineRule="atLeast"/>
              <w:jc w:val="both"/>
              <w:rPr>
                <w:rFonts w:hAnsi="標楷體"/>
              </w:rPr>
            </w:pPr>
            <w:r w:rsidRPr="00977DC7">
              <w:rPr>
                <w:rFonts w:hAnsi="標楷體" w:hint="eastAsia"/>
              </w:rPr>
              <w:t>2.</w:t>
            </w:r>
            <w:r w:rsidRPr="00977DC7">
              <w:rPr>
                <w:rFonts w:hAnsi="標楷體" w:hint="eastAsia"/>
              </w:rPr>
              <w:t>配合中央專案抽驗</w:t>
            </w:r>
          </w:p>
          <w:p w:rsidR="00977DC7" w:rsidRPr="00977DC7" w:rsidRDefault="00977DC7" w:rsidP="00977DC7">
            <w:pPr>
              <w:snapToGrid w:val="0"/>
              <w:spacing w:line="0" w:lineRule="atLeast"/>
              <w:ind w:leftChars="100" w:left="240"/>
              <w:jc w:val="both"/>
              <w:rPr>
                <w:rFonts w:hAnsi="標楷體"/>
              </w:rPr>
            </w:pPr>
            <w:r w:rsidRPr="00977DC7">
              <w:rPr>
                <w:rFonts w:hAnsi="標楷體" w:hint="eastAsia"/>
              </w:rPr>
              <w:t>配合中央食安管理政策及年度稽查專案抽驗計畫內檢驗項目與件數進行檢驗，並依限完成檢驗報告。</w:t>
            </w:r>
          </w:p>
          <w:p w:rsidR="00977DC7" w:rsidRPr="00977DC7" w:rsidRDefault="00977DC7" w:rsidP="00977DC7">
            <w:pPr>
              <w:snapToGrid w:val="0"/>
              <w:spacing w:line="0" w:lineRule="atLeast"/>
              <w:jc w:val="both"/>
              <w:rPr>
                <w:rFonts w:hAnsi="標楷體"/>
              </w:rPr>
            </w:pPr>
            <w:r w:rsidRPr="00977DC7">
              <w:rPr>
                <w:rFonts w:hAnsi="標楷體" w:hint="eastAsia"/>
              </w:rPr>
              <w:lastRenderedPageBreak/>
              <w:t>3.</w:t>
            </w:r>
            <w:r w:rsidRPr="00977DC7">
              <w:rPr>
                <w:rFonts w:hAnsi="標楷體" w:hint="eastAsia"/>
              </w:rPr>
              <w:t>配合地方食品衛生管理單位抽驗</w:t>
            </w:r>
          </w:p>
          <w:p w:rsidR="00977DC7" w:rsidRPr="00977DC7" w:rsidRDefault="00977DC7" w:rsidP="00977DC7">
            <w:pPr>
              <w:snapToGrid w:val="0"/>
              <w:spacing w:line="0" w:lineRule="atLeast"/>
              <w:ind w:leftChars="100" w:left="240"/>
              <w:jc w:val="both"/>
              <w:rPr>
                <w:rFonts w:hAnsi="標楷體"/>
              </w:rPr>
            </w:pPr>
            <w:r w:rsidRPr="00977DC7">
              <w:rPr>
                <w:rFonts w:hAnsi="標楷體" w:hint="eastAsia"/>
              </w:rPr>
              <w:t>加強轄內食品業者源頭管理，並積極配合食品衛生管理單位排訂之年度計畫辦理抽驗，檢測市售產品之安全品質，針對不合格產品進行裁處與加強稽查抽驗，並立即發布檢驗結果相關資訊於本局網站，以利民眾查詢。</w:t>
            </w:r>
          </w:p>
          <w:p w:rsidR="00977DC7" w:rsidRPr="00977DC7" w:rsidRDefault="00977DC7" w:rsidP="00977DC7">
            <w:pPr>
              <w:snapToGrid w:val="0"/>
              <w:spacing w:line="0" w:lineRule="atLeast"/>
              <w:jc w:val="both"/>
              <w:rPr>
                <w:rFonts w:hAnsi="標楷體"/>
              </w:rPr>
            </w:pPr>
            <w:r w:rsidRPr="00977DC7">
              <w:rPr>
                <w:rFonts w:hAnsi="標楷體" w:hint="eastAsia"/>
              </w:rPr>
              <w:t>4.</w:t>
            </w:r>
            <w:r w:rsidRPr="00977DC7">
              <w:rPr>
                <w:rFonts w:hAnsi="標楷體" w:hint="eastAsia"/>
              </w:rPr>
              <w:t>落實食安五環「加強查驗」政策</w:t>
            </w:r>
          </w:p>
          <w:p w:rsidR="00977DC7" w:rsidRPr="00977DC7" w:rsidRDefault="00977DC7" w:rsidP="00977DC7">
            <w:pPr>
              <w:snapToGrid w:val="0"/>
              <w:spacing w:line="0" w:lineRule="atLeast"/>
              <w:ind w:leftChars="100" w:left="240"/>
              <w:jc w:val="both"/>
              <w:rPr>
                <w:rFonts w:hAnsi="標楷體"/>
              </w:rPr>
            </w:pPr>
            <w:r w:rsidRPr="00977DC7">
              <w:rPr>
                <w:rFonts w:hAnsi="標楷體" w:hint="eastAsia"/>
              </w:rPr>
              <w:t>積極配合食品衛生管理單位加強稽查抽驗、加強校園食材及團膳業稽查抽驗、高關注及高風險食品加強稽查抽驗、針對地方特色產品加強稽查抽驗，並依限完成檢驗報告。</w:t>
            </w:r>
          </w:p>
          <w:p w:rsidR="00977DC7" w:rsidRPr="00977DC7" w:rsidRDefault="00977DC7" w:rsidP="00977DC7">
            <w:pPr>
              <w:snapToGrid w:val="0"/>
              <w:spacing w:line="0" w:lineRule="atLeast"/>
              <w:jc w:val="both"/>
              <w:rPr>
                <w:rFonts w:hAnsi="標楷體"/>
              </w:rPr>
            </w:pPr>
            <w:r w:rsidRPr="00977DC7">
              <w:rPr>
                <w:rFonts w:hAnsi="標楷體"/>
              </w:rPr>
              <w:t>5.</w:t>
            </w:r>
            <w:r w:rsidRPr="00977DC7">
              <w:rPr>
                <w:rFonts w:hAnsi="標楷體" w:hint="eastAsia"/>
              </w:rPr>
              <w:t>完善檢驗設備，確認檢驗品質，精進食安檢驗能力</w:t>
            </w:r>
          </w:p>
          <w:p w:rsidR="00977DC7" w:rsidRPr="00977DC7" w:rsidRDefault="00977DC7" w:rsidP="00977DC7">
            <w:pPr>
              <w:snapToGrid w:val="0"/>
              <w:spacing w:line="0" w:lineRule="atLeast"/>
              <w:ind w:leftChars="100" w:left="240"/>
              <w:jc w:val="both"/>
              <w:rPr>
                <w:rFonts w:hAnsi="標楷體"/>
              </w:rPr>
            </w:pPr>
            <w:r w:rsidRPr="00977DC7">
              <w:rPr>
                <w:rFonts w:hAnsi="標楷體" w:hint="eastAsia"/>
              </w:rPr>
              <w:t>持續維持認證、參加</w:t>
            </w:r>
            <w:r w:rsidRPr="00977DC7">
              <w:rPr>
                <w:rFonts w:hAnsi="標楷體"/>
              </w:rPr>
              <w:t>TFDA</w:t>
            </w:r>
            <w:r w:rsidRPr="00977DC7">
              <w:rPr>
                <w:rFonts w:hAnsi="標楷體" w:hint="eastAsia"/>
              </w:rPr>
              <w:t>及</w:t>
            </w:r>
            <w:r w:rsidRPr="00977DC7">
              <w:rPr>
                <w:rFonts w:hAnsi="標楷體" w:hint="eastAsia"/>
              </w:rPr>
              <w:t>FAPAS</w:t>
            </w:r>
            <w:r w:rsidRPr="00977DC7">
              <w:rPr>
                <w:rFonts w:hAnsi="標楷體" w:hint="eastAsia"/>
              </w:rPr>
              <w:t>所舉辦之各項能力試驗、強化人員訓練，精進食品檢驗能力。</w:t>
            </w:r>
          </w:p>
          <w:p w:rsidR="00977DC7" w:rsidRPr="00977DC7" w:rsidRDefault="00977DC7" w:rsidP="003B24E1">
            <w:pPr>
              <w:snapToGrid w:val="0"/>
              <w:spacing w:line="0" w:lineRule="atLeast"/>
              <w:jc w:val="both"/>
              <w:rPr>
                <w:rFonts w:hAnsi="標楷體"/>
              </w:rPr>
            </w:pPr>
            <w:r w:rsidRPr="00977DC7">
              <w:rPr>
                <w:rFonts w:hAnsi="標楷體" w:hint="eastAsia"/>
              </w:rPr>
              <w:t>6.</w:t>
            </w:r>
            <w:r w:rsidRPr="00977DC7">
              <w:rPr>
                <w:rFonts w:hAnsi="標楷體" w:hint="eastAsia"/>
              </w:rPr>
              <w:t>提升食品檢驗效能，捍衛民眾食在安全。</w:t>
            </w:r>
          </w:p>
          <w:p w:rsidR="00977DC7" w:rsidRPr="00977DC7" w:rsidRDefault="00977DC7" w:rsidP="003B24E1">
            <w:pPr>
              <w:snapToGrid w:val="0"/>
              <w:spacing w:line="0" w:lineRule="atLeast"/>
              <w:ind w:leftChars="67" w:left="161"/>
              <w:jc w:val="both"/>
              <w:rPr>
                <w:rFonts w:hAnsi="標楷體"/>
              </w:rPr>
            </w:pPr>
            <w:r w:rsidRPr="00977DC7">
              <w:rPr>
                <w:rFonts w:hAnsi="標楷體" w:hint="eastAsia"/>
              </w:rPr>
              <w:t>改善食品檢驗環境，壙增儀器及資訊設備，強化檢驗效能、提升檢驗量能，以達守護民眾食在安全。</w:t>
            </w:r>
          </w:p>
          <w:p w:rsidR="00C91E73" w:rsidRPr="002C063D" w:rsidRDefault="00C91E73" w:rsidP="003B24E1">
            <w:pPr>
              <w:widowControl/>
              <w:spacing w:line="0" w:lineRule="atLeast"/>
              <w:rPr>
                <w:b/>
                <w:color w:val="000000"/>
                <w:kern w:val="0"/>
              </w:rPr>
            </w:pPr>
            <w:r w:rsidRPr="002C063D">
              <w:rPr>
                <w:rFonts w:hint="eastAsia"/>
                <w:b/>
                <w:color w:val="000000"/>
                <w:kern w:val="0"/>
              </w:rPr>
              <w:t>二</w:t>
            </w:r>
            <w:r w:rsidRPr="002C063D">
              <w:rPr>
                <w:b/>
                <w:color w:val="000000"/>
                <w:kern w:val="0"/>
              </w:rPr>
              <w:t>、</w:t>
            </w:r>
            <w:r w:rsidRPr="002C063D">
              <w:rPr>
                <w:b/>
                <w:color w:val="000000"/>
                <w:kern w:val="0"/>
              </w:rPr>
              <w:t>[</w:t>
            </w:r>
            <w:r w:rsidRPr="002C063D">
              <w:rPr>
                <w:rFonts w:hint="eastAsia"/>
                <w:b/>
                <w:color w:val="000000"/>
                <w:kern w:val="0"/>
              </w:rPr>
              <w:t>使用情形及其效益分析指標</w:t>
            </w:r>
            <w:r w:rsidRPr="002C063D">
              <w:rPr>
                <w:b/>
                <w:color w:val="000000"/>
                <w:kern w:val="0"/>
              </w:rPr>
              <w:t>]</w:t>
            </w:r>
            <w:r w:rsidRPr="002C063D">
              <w:rPr>
                <w:b/>
                <w:color w:val="000000"/>
                <w:kern w:val="0"/>
              </w:rPr>
              <w:t>：</w:t>
            </w:r>
          </w:p>
          <w:p w:rsidR="004E51CE" w:rsidRDefault="0089646D" w:rsidP="003B24E1">
            <w:pPr>
              <w:widowControl/>
              <w:spacing w:line="0" w:lineRule="atLeast"/>
              <w:rPr>
                <w:b/>
                <w:bCs/>
                <w:color w:val="000000" w:themeColor="text1"/>
                <w:kern w:val="0"/>
              </w:rPr>
            </w:pPr>
            <w:r w:rsidRPr="002C063D">
              <w:rPr>
                <w:rFonts w:hint="eastAsia"/>
                <w:b/>
                <w:color w:val="000000" w:themeColor="text1"/>
                <w:kern w:val="0"/>
              </w:rPr>
              <w:t>(</w:t>
            </w:r>
            <w:r w:rsidRPr="002C063D">
              <w:rPr>
                <w:rFonts w:hint="eastAsia"/>
                <w:b/>
                <w:color w:val="000000" w:themeColor="text1"/>
                <w:kern w:val="0"/>
              </w:rPr>
              <w:t>一</w:t>
            </w:r>
            <w:r w:rsidRPr="002C063D">
              <w:rPr>
                <w:rFonts w:hint="eastAsia"/>
                <w:b/>
                <w:color w:val="000000" w:themeColor="text1"/>
                <w:kern w:val="0"/>
              </w:rPr>
              <w:t>)</w:t>
            </w:r>
            <w:r w:rsidR="0079139A" w:rsidRPr="002C063D">
              <w:rPr>
                <w:rFonts w:hint="eastAsia"/>
                <w:b/>
                <w:color w:val="000000" w:themeColor="text1"/>
                <w:kern w:val="0"/>
              </w:rPr>
              <w:t>長照</w:t>
            </w:r>
            <w:r w:rsidR="0079139A" w:rsidRPr="002C063D">
              <w:rPr>
                <w:rFonts w:hint="eastAsia"/>
                <w:b/>
                <w:color w:val="000000" w:themeColor="text1"/>
                <w:kern w:val="0"/>
              </w:rPr>
              <w:t>2.0</w:t>
            </w:r>
            <w:r w:rsidR="0079139A" w:rsidRPr="002C063D">
              <w:rPr>
                <w:rFonts w:hint="eastAsia"/>
                <w:b/>
                <w:color w:val="000000" w:themeColor="text1"/>
                <w:kern w:val="0"/>
              </w:rPr>
              <w:t>多功能服務中心</w:t>
            </w:r>
            <w:r w:rsidR="00467364" w:rsidRPr="002C063D">
              <w:rPr>
                <w:rFonts w:hint="eastAsia"/>
                <w:b/>
                <w:bCs/>
                <w:color w:val="000000" w:themeColor="text1"/>
                <w:kern w:val="0"/>
              </w:rPr>
              <w:t>效益分析指標</w:t>
            </w:r>
            <w:r w:rsidR="00467364" w:rsidRPr="002C063D">
              <w:rPr>
                <w:rFonts w:hint="eastAsia"/>
                <w:b/>
                <w:bCs/>
                <w:color w:val="000000" w:themeColor="text1"/>
                <w:kern w:val="0"/>
              </w:rPr>
              <w:t>:</w:t>
            </w:r>
          </w:p>
          <w:p w:rsidR="00467364" w:rsidRPr="002C063D" w:rsidRDefault="00073399" w:rsidP="004E51CE">
            <w:pPr>
              <w:widowControl/>
              <w:spacing w:line="0" w:lineRule="atLeast"/>
              <w:rPr>
                <w:b/>
                <w:color w:val="000000" w:themeColor="text1"/>
                <w:kern w:val="0"/>
              </w:rPr>
            </w:pPr>
            <w:r w:rsidRPr="002C063D">
              <w:rPr>
                <w:rFonts w:hint="eastAsia"/>
                <w:color w:val="000000" w:themeColor="text1"/>
                <w:kern w:val="0"/>
              </w:rPr>
              <w:t>設置</w:t>
            </w:r>
            <w:r w:rsidR="00467364" w:rsidRPr="002C063D">
              <w:rPr>
                <w:rFonts w:hint="eastAsia"/>
                <w:color w:val="000000" w:themeColor="text1"/>
                <w:kern w:val="0"/>
              </w:rPr>
              <w:t>日間照顧中心</w:t>
            </w:r>
            <w:r w:rsidR="00467364" w:rsidRPr="002C063D">
              <w:rPr>
                <w:bCs/>
                <w:color w:val="000000" w:themeColor="text1"/>
                <w:kern w:val="0"/>
              </w:rPr>
              <w:t>、</w:t>
            </w:r>
            <w:r w:rsidR="00F51CC4" w:rsidRPr="002C063D">
              <w:rPr>
                <w:rFonts w:hint="eastAsia"/>
                <w:bCs/>
                <w:color w:val="000000" w:themeColor="text1"/>
                <w:kern w:val="0"/>
              </w:rPr>
              <w:t>小規模多機能</w:t>
            </w:r>
            <w:r w:rsidR="00DF6F7D" w:rsidRPr="002C063D">
              <w:rPr>
                <w:rFonts w:hint="eastAsia"/>
                <w:bCs/>
                <w:color w:val="000000" w:themeColor="text1"/>
                <w:kern w:val="0"/>
              </w:rPr>
              <w:t>等長照服務</w:t>
            </w:r>
            <w:r w:rsidRPr="002C063D">
              <w:rPr>
                <w:rFonts w:hint="eastAsia"/>
                <w:bCs/>
                <w:color w:val="000000" w:themeColor="text1"/>
                <w:kern w:val="0"/>
              </w:rPr>
              <w:t>空間</w:t>
            </w:r>
            <w:r w:rsidR="00DF6F7D" w:rsidRPr="002C063D">
              <w:rPr>
                <w:rFonts w:hint="eastAsia"/>
                <w:bCs/>
                <w:color w:val="000000" w:themeColor="text1"/>
                <w:kern w:val="0"/>
              </w:rPr>
              <w:t>:</w:t>
            </w:r>
            <w:r w:rsidR="00350CCC" w:rsidRPr="002C063D">
              <w:rPr>
                <w:rFonts w:hint="eastAsia"/>
                <w:bCs/>
                <w:color w:val="000000" w:themeColor="text1"/>
                <w:kern w:val="0"/>
              </w:rPr>
              <w:t>每年服務</w:t>
            </w:r>
            <w:r w:rsidR="00350CCC" w:rsidRPr="002C063D">
              <w:rPr>
                <w:rFonts w:hint="eastAsia"/>
                <w:color w:val="000000" w:themeColor="text1"/>
                <w:kern w:val="0"/>
              </w:rPr>
              <w:t>65</w:t>
            </w:r>
            <w:r w:rsidR="00350CCC" w:rsidRPr="002C063D">
              <w:rPr>
                <w:rFonts w:hint="eastAsia"/>
                <w:color w:val="000000" w:themeColor="text1"/>
                <w:kern w:val="0"/>
              </w:rPr>
              <w:t>歲以上長輩預計</w:t>
            </w:r>
            <w:r w:rsidR="00350CCC" w:rsidRPr="002C063D">
              <w:rPr>
                <w:rFonts w:hint="eastAsia"/>
                <w:bCs/>
                <w:color w:val="000000" w:themeColor="text1"/>
                <w:kern w:val="0"/>
              </w:rPr>
              <w:t>達</w:t>
            </w:r>
            <w:r w:rsidR="00DF6F7D" w:rsidRPr="002C063D">
              <w:rPr>
                <w:rFonts w:hint="eastAsia"/>
                <w:bCs/>
                <w:color w:val="000000" w:themeColor="text1"/>
                <w:kern w:val="0"/>
              </w:rPr>
              <w:t>15</w:t>
            </w:r>
            <w:r w:rsidR="00A23CFD" w:rsidRPr="0019502C">
              <w:rPr>
                <w:rFonts w:hint="eastAsia"/>
                <w:color w:val="000000"/>
              </w:rPr>
              <w:t>,</w:t>
            </w:r>
            <w:r w:rsidR="00DF6F7D" w:rsidRPr="002C063D">
              <w:rPr>
                <w:rFonts w:hint="eastAsia"/>
                <w:bCs/>
                <w:color w:val="000000" w:themeColor="text1"/>
                <w:kern w:val="0"/>
              </w:rPr>
              <w:t>120</w:t>
            </w:r>
            <w:r w:rsidR="00350CCC" w:rsidRPr="002C063D">
              <w:rPr>
                <w:rFonts w:hint="eastAsia"/>
                <w:bCs/>
                <w:color w:val="000000" w:themeColor="text1"/>
                <w:kern w:val="0"/>
              </w:rPr>
              <w:t>人次</w:t>
            </w:r>
            <w:r w:rsidRPr="002C063D">
              <w:rPr>
                <w:rFonts w:hint="eastAsia"/>
                <w:color w:val="000000" w:themeColor="text1"/>
                <w:kern w:val="0"/>
              </w:rPr>
              <w:t>。</w:t>
            </w:r>
            <w:r w:rsidR="00F51CC4" w:rsidRPr="002C063D">
              <w:rPr>
                <w:rFonts w:hint="eastAsia"/>
                <w:color w:val="000000" w:themeColor="text1"/>
                <w:kern w:val="0"/>
              </w:rPr>
              <w:t>研擬照顧計畫</w:t>
            </w:r>
            <w:r w:rsidRPr="002C063D">
              <w:rPr>
                <w:bCs/>
                <w:color w:val="000000" w:themeColor="text1"/>
                <w:kern w:val="0"/>
              </w:rPr>
              <w:t>、</w:t>
            </w:r>
            <w:r w:rsidRPr="002C063D">
              <w:rPr>
                <w:rFonts w:hint="eastAsia"/>
                <w:color w:val="000000" w:themeColor="text1"/>
                <w:kern w:val="0"/>
              </w:rPr>
              <w:t>個案管理</w:t>
            </w:r>
            <w:r w:rsidR="00F51CC4" w:rsidRPr="002C063D">
              <w:rPr>
                <w:rFonts w:hint="eastAsia"/>
                <w:color w:val="000000" w:themeColor="text1"/>
                <w:kern w:val="0"/>
              </w:rPr>
              <w:t>，</w:t>
            </w:r>
            <w:r w:rsidRPr="002C063D">
              <w:rPr>
                <w:rFonts w:hint="eastAsia"/>
                <w:color w:val="000000" w:themeColor="text1"/>
                <w:kern w:val="0"/>
              </w:rPr>
              <w:t>並</w:t>
            </w:r>
            <w:r w:rsidR="00F51CC4" w:rsidRPr="002C063D">
              <w:rPr>
                <w:rFonts w:hint="eastAsia"/>
                <w:color w:val="000000" w:themeColor="text1"/>
                <w:kern w:val="0"/>
              </w:rPr>
              <w:t>進行協調連結照顧服務資源</w:t>
            </w:r>
            <w:r w:rsidRPr="002C063D">
              <w:rPr>
                <w:rFonts w:hint="eastAsia"/>
                <w:color w:val="000000" w:themeColor="text1"/>
                <w:kern w:val="0"/>
              </w:rPr>
              <w:t>，及資訊提供與宣導。</w:t>
            </w:r>
          </w:p>
          <w:p w:rsidR="00E50977" w:rsidRPr="002C063D" w:rsidRDefault="00C43DA5" w:rsidP="00C43DA5">
            <w:pPr>
              <w:spacing w:line="0" w:lineRule="atLeast"/>
              <w:ind w:left="240" w:hangingChars="100" w:hanging="240"/>
              <w:rPr>
                <w:b/>
                <w:color w:val="000000" w:themeColor="text1"/>
                <w:kern w:val="0"/>
              </w:rPr>
            </w:pPr>
            <w:r w:rsidRPr="002C063D">
              <w:rPr>
                <w:rFonts w:hint="eastAsia"/>
                <w:b/>
                <w:color w:val="000000" w:themeColor="text1"/>
                <w:kern w:val="0"/>
              </w:rPr>
              <w:t>(</w:t>
            </w:r>
            <w:r w:rsidRPr="002C063D">
              <w:rPr>
                <w:rFonts w:hint="eastAsia"/>
                <w:b/>
                <w:color w:val="000000" w:themeColor="text1"/>
                <w:kern w:val="0"/>
              </w:rPr>
              <w:t>二</w:t>
            </w:r>
            <w:r w:rsidRPr="002C063D">
              <w:rPr>
                <w:rFonts w:hint="eastAsia"/>
                <w:b/>
                <w:color w:val="000000" w:themeColor="text1"/>
                <w:kern w:val="0"/>
              </w:rPr>
              <w:t>)</w:t>
            </w:r>
            <w:r w:rsidRPr="002C063D">
              <w:rPr>
                <w:rFonts w:hint="eastAsia"/>
                <w:b/>
                <w:color w:val="000000" w:themeColor="text1"/>
                <w:kern w:val="0"/>
              </w:rPr>
              <w:t>社會福利相關辦公空間</w:t>
            </w:r>
            <w:r w:rsidR="00E50977" w:rsidRPr="002C063D">
              <w:rPr>
                <w:rFonts w:hint="eastAsia"/>
                <w:b/>
                <w:bCs/>
                <w:color w:val="000000" w:themeColor="text1"/>
                <w:kern w:val="0"/>
              </w:rPr>
              <w:t>效益分析指標</w:t>
            </w:r>
            <w:r w:rsidR="004E51CE" w:rsidRPr="002C063D">
              <w:rPr>
                <w:rFonts w:hint="eastAsia"/>
                <w:b/>
                <w:bCs/>
                <w:color w:val="000000" w:themeColor="text1"/>
                <w:kern w:val="0"/>
              </w:rPr>
              <w:t>:</w:t>
            </w:r>
          </w:p>
          <w:p w:rsidR="00C43DA5" w:rsidRPr="002C063D" w:rsidRDefault="00C43DA5" w:rsidP="00C43DA5">
            <w:pPr>
              <w:widowControl/>
              <w:spacing w:line="0" w:lineRule="atLeast"/>
              <w:rPr>
                <w:color w:val="000000" w:themeColor="text1"/>
                <w:kern w:val="0"/>
              </w:rPr>
            </w:pPr>
            <w:r w:rsidRPr="002C063D">
              <w:rPr>
                <w:rFonts w:hint="eastAsia"/>
                <w:color w:val="000000" w:themeColor="text1"/>
                <w:kern w:val="0"/>
              </w:rPr>
              <w:t>1.</w:t>
            </w:r>
            <w:r w:rsidRPr="002C063D">
              <w:rPr>
                <w:rFonts w:hint="eastAsia"/>
                <w:color w:val="000000" w:themeColor="text1"/>
                <w:kern w:val="0"/>
              </w:rPr>
              <w:t>社會處辦公空間</w:t>
            </w:r>
          </w:p>
          <w:p w:rsidR="00C43DA5" w:rsidRPr="002C063D" w:rsidRDefault="00C43DA5" w:rsidP="00C43DA5">
            <w:pPr>
              <w:widowControl/>
              <w:spacing w:line="0" w:lineRule="atLeast"/>
              <w:rPr>
                <w:bCs/>
                <w:color w:val="000000" w:themeColor="text1"/>
                <w:kern w:val="0"/>
              </w:rPr>
            </w:pPr>
            <w:r w:rsidRPr="002C063D">
              <w:rPr>
                <w:rFonts w:hint="eastAsia"/>
                <w:bCs/>
                <w:color w:val="000000" w:themeColor="text1"/>
                <w:kern w:val="0"/>
              </w:rPr>
              <w:t>(1)</w:t>
            </w:r>
            <w:r w:rsidRPr="002C063D">
              <w:rPr>
                <w:bCs/>
                <w:color w:val="000000" w:themeColor="text1"/>
                <w:kern w:val="0"/>
              </w:rPr>
              <w:t>使用人數或次數</w:t>
            </w:r>
            <w:r w:rsidRPr="002C063D">
              <w:rPr>
                <w:rFonts w:hint="eastAsia"/>
                <w:bCs/>
                <w:color w:val="000000" w:themeColor="text1"/>
                <w:kern w:val="0"/>
              </w:rPr>
              <w:t>：預計社會處人員每日約</w:t>
            </w:r>
            <w:r w:rsidRPr="002C063D">
              <w:rPr>
                <w:rFonts w:hint="eastAsia"/>
                <w:bCs/>
                <w:color w:val="000000" w:themeColor="text1"/>
                <w:kern w:val="0"/>
              </w:rPr>
              <w:t>3</w:t>
            </w:r>
            <w:r w:rsidRPr="002C063D">
              <w:rPr>
                <w:bCs/>
                <w:color w:val="000000" w:themeColor="text1"/>
                <w:kern w:val="0"/>
              </w:rPr>
              <w:t>66</w:t>
            </w:r>
            <w:r w:rsidRPr="002C063D">
              <w:rPr>
                <w:rFonts w:hint="eastAsia"/>
                <w:bCs/>
                <w:color w:val="000000" w:themeColor="text1"/>
                <w:kern w:val="0"/>
              </w:rPr>
              <w:t>人進駐辦公。</w:t>
            </w:r>
          </w:p>
          <w:p w:rsidR="00C43DA5" w:rsidRPr="002C063D" w:rsidRDefault="00C43DA5" w:rsidP="00C43DA5">
            <w:pPr>
              <w:widowControl/>
              <w:spacing w:line="0" w:lineRule="atLeast"/>
              <w:rPr>
                <w:bCs/>
                <w:color w:val="000000" w:themeColor="text1"/>
                <w:kern w:val="0"/>
              </w:rPr>
            </w:pPr>
            <w:r w:rsidRPr="002C063D">
              <w:rPr>
                <w:rFonts w:hint="eastAsia"/>
                <w:bCs/>
                <w:color w:val="000000" w:themeColor="text1"/>
                <w:kern w:val="0"/>
              </w:rPr>
              <w:t>(2)</w:t>
            </w:r>
            <w:r w:rsidRPr="002C063D">
              <w:rPr>
                <w:bCs/>
                <w:color w:val="000000" w:themeColor="text1"/>
                <w:kern w:val="0"/>
              </w:rPr>
              <w:t>使用頻率</w:t>
            </w:r>
            <w:r w:rsidRPr="002C063D">
              <w:rPr>
                <w:rFonts w:hint="eastAsia"/>
                <w:bCs/>
                <w:color w:val="000000" w:themeColor="text1"/>
                <w:kern w:val="0"/>
              </w:rPr>
              <w:t>：每週一至五</w:t>
            </w:r>
            <w:r w:rsidRPr="002C063D">
              <w:rPr>
                <w:rFonts w:hint="eastAsia"/>
                <w:bCs/>
                <w:color w:val="000000" w:themeColor="text1"/>
                <w:kern w:val="0"/>
              </w:rPr>
              <w:t>8</w:t>
            </w:r>
            <w:r w:rsidRPr="002C063D">
              <w:rPr>
                <w:bCs/>
                <w:color w:val="000000" w:themeColor="text1"/>
                <w:kern w:val="0"/>
              </w:rPr>
              <w:t>:00-17:30</w:t>
            </w:r>
            <w:r w:rsidRPr="002C063D">
              <w:rPr>
                <w:rFonts w:hint="eastAsia"/>
                <w:bCs/>
                <w:color w:val="000000" w:themeColor="text1"/>
                <w:kern w:val="0"/>
              </w:rPr>
              <w:t>及假日辦理活動或輪值。</w:t>
            </w:r>
          </w:p>
          <w:p w:rsidR="00C43DA5" w:rsidRPr="002C063D" w:rsidRDefault="00C43DA5" w:rsidP="00C43DA5">
            <w:pPr>
              <w:widowControl/>
              <w:spacing w:line="0" w:lineRule="atLeast"/>
              <w:ind w:left="2640" w:hangingChars="1100" w:hanging="2640"/>
              <w:rPr>
                <w:bCs/>
                <w:color w:val="000000" w:themeColor="text1"/>
                <w:kern w:val="0"/>
              </w:rPr>
            </w:pPr>
            <w:r w:rsidRPr="002C063D">
              <w:rPr>
                <w:rFonts w:hint="eastAsia"/>
                <w:bCs/>
                <w:color w:val="000000" w:themeColor="text1"/>
                <w:kern w:val="0"/>
              </w:rPr>
              <w:t>(3)</w:t>
            </w:r>
            <w:r w:rsidRPr="002C063D">
              <w:rPr>
                <w:bCs/>
                <w:color w:val="000000" w:themeColor="text1"/>
                <w:kern w:val="0"/>
              </w:rPr>
              <w:t>工作人力</w:t>
            </w:r>
            <w:r w:rsidRPr="002C063D">
              <w:rPr>
                <w:rFonts w:hint="eastAsia"/>
                <w:bCs/>
                <w:color w:val="000000" w:themeColor="text1"/>
                <w:kern w:val="0"/>
              </w:rPr>
              <w:t>、</w:t>
            </w:r>
            <w:r w:rsidRPr="002C063D">
              <w:rPr>
                <w:bCs/>
                <w:color w:val="000000" w:themeColor="text1"/>
                <w:kern w:val="0"/>
              </w:rPr>
              <w:t>工作成果</w:t>
            </w:r>
            <w:r w:rsidRPr="002C063D">
              <w:rPr>
                <w:rFonts w:hint="eastAsia"/>
                <w:bCs/>
                <w:color w:val="000000" w:themeColor="text1"/>
                <w:kern w:val="0"/>
              </w:rPr>
              <w:t>：社會處行政人員、直接服務人員及志工人力合計約</w:t>
            </w:r>
            <w:r w:rsidRPr="002C063D">
              <w:rPr>
                <w:rFonts w:hint="eastAsia"/>
                <w:bCs/>
                <w:color w:val="000000" w:themeColor="text1"/>
                <w:kern w:val="0"/>
              </w:rPr>
              <w:t>3</w:t>
            </w:r>
            <w:r w:rsidRPr="002C063D">
              <w:rPr>
                <w:bCs/>
                <w:color w:val="000000" w:themeColor="text1"/>
                <w:kern w:val="0"/>
              </w:rPr>
              <w:t>66</w:t>
            </w:r>
            <w:r w:rsidRPr="002C063D">
              <w:rPr>
                <w:rFonts w:hint="eastAsia"/>
                <w:bCs/>
                <w:color w:val="000000" w:themeColor="text1"/>
                <w:kern w:val="0"/>
              </w:rPr>
              <w:t>人，協助民眾申請各項福利服務並提供保護服務。</w:t>
            </w:r>
          </w:p>
          <w:p w:rsidR="002043C9" w:rsidRPr="001A5462" w:rsidRDefault="002043C9" w:rsidP="002043C9">
            <w:pPr>
              <w:spacing w:line="0" w:lineRule="atLeast"/>
              <w:rPr>
                <w:color w:val="000000" w:themeColor="text1"/>
                <w:kern w:val="0"/>
              </w:rPr>
            </w:pPr>
            <w:r w:rsidRPr="001A5462">
              <w:rPr>
                <w:rFonts w:hint="eastAsia"/>
                <w:color w:val="000000" w:themeColor="text1"/>
                <w:kern w:val="0"/>
              </w:rPr>
              <w:t>2.</w:t>
            </w:r>
            <w:r w:rsidRPr="001A5462">
              <w:rPr>
                <w:rFonts w:hint="eastAsia"/>
                <w:color w:val="000000" w:themeColor="text1"/>
                <w:kern w:val="0"/>
              </w:rPr>
              <w:t>衛生局辦公空間</w:t>
            </w:r>
          </w:p>
          <w:p w:rsidR="00F85731" w:rsidRPr="001A5462" w:rsidRDefault="002043C9" w:rsidP="00F85731">
            <w:pPr>
              <w:widowControl/>
              <w:spacing w:line="0" w:lineRule="atLeast"/>
              <w:rPr>
                <w:bCs/>
                <w:color w:val="000000" w:themeColor="text1"/>
                <w:kern w:val="0"/>
              </w:rPr>
            </w:pPr>
            <w:r w:rsidRPr="001A5462">
              <w:rPr>
                <w:rFonts w:hint="eastAsia"/>
                <w:bCs/>
                <w:color w:val="000000" w:themeColor="text1"/>
                <w:kern w:val="0"/>
              </w:rPr>
              <w:t>(1)</w:t>
            </w:r>
            <w:r w:rsidRPr="001A5462">
              <w:rPr>
                <w:bCs/>
                <w:color w:val="000000" w:themeColor="text1"/>
                <w:kern w:val="0"/>
              </w:rPr>
              <w:t>使用人數或次數</w:t>
            </w:r>
            <w:r w:rsidRPr="001A5462">
              <w:rPr>
                <w:rFonts w:hint="eastAsia"/>
                <w:bCs/>
                <w:color w:val="000000" w:themeColor="text1"/>
                <w:kern w:val="0"/>
              </w:rPr>
              <w:t>：</w:t>
            </w:r>
            <w:r w:rsidR="00A7386C" w:rsidRPr="001A5462">
              <w:rPr>
                <w:rFonts w:hint="eastAsia"/>
                <w:bCs/>
                <w:color w:val="000000" w:themeColor="text1"/>
                <w:kern w:val="0"/>
              </w:rPr>
              <w:t>預計社會處人員每日約</w:t>
            </w:r>
            <w:r w:rsidR="00A7386C" w:rsidRPr="001A5462">
              <w:rPr>
                <w:rFonts w:hint="eastAsia"/>
                <w:bCs/>
                <w:color w:val="000000" w:themeColor="text1"/>
                <w:kern w:val="0"/>
              </w:rPr>
              <w:t>214</w:t>
            </w:r>
            <w:r w:rsidR="00A7386C" w:rsidRPr="001A5462">
              <w:rPr>
                <w:rFonts w:hint="eastAsia"/>
                <w:bCs/>
                <w:color w:val="000000" w:themeColor="text1"/>
                <w:kern w:val="0"/>
              </w:rPr>
              <w:t>人進駐辦公。</w:t>
            </w:r>
          </w:p>
          <w:p w:rsidR="002043C9" w:rsidRPr="001A5462" w:rsidRDefault="002043C9" w:rsidP="00F85731">
            <w:pPr>
              <w:widowControl/>
              <w:spacing w:line="0" w:lineRule="atLeast"/>
              <w:rPr>
                <w:bCs/>
                <w:color w:val="000000" w:themeColor="text1"/>
                <w:kern w:val="0"/>
              </w:rPr>
            </w:pPr>
            <w:r w:rsidRPr="001A5462">
              <w:rPr>
                <w:rFonts w:hint="eastAsia"/>
                <w:bCs/>
                <w:color w:val="000000" w:themeColor="text1"/>
                <w:kern w:val="0"/>
              </w:rPr>
              <w:t>(2)</w:t>
            </w:r>
            <w:r w:rsidRPr="001A5462">
              <w:rPr>
                <w:bCs/>
                <w:color w:val="000000" w:themeColor="text1"/>
                <w:kern w:val="0"/>
              </w:rPr>
              <w:t>使用頻率</w:t>
            </w:r>
            <w:r w:rsidRPr="001A5462">
              <w:rPr>
                <w:rFonts w:hint="eastAsia"/>
                <w:bCs/>
                <w:color w:val="000000" w:themeColor="text1"/>
                <w:kern w:val="0"/>
              </w:rPr>
              <w:t>：</w:t>
            </w:r>
            <w:r w:rsidR="00A7386C" w:rsidRPr="001A5462">
              <w:rPr>
                <w:rFonts w:hint="eastAsia"/>
                <w:bCs/>
                <w:color w:val="000000" w:themeColor="text1"/>
                <w:kern w:val="0"/>
              </w:rPr>
              <w:t>每週一至五</w:t>
            </w:r>
            <w:r w:rsidR="00A7386C" w:rsidRPr="001A5462">
              <w:rPr>
                <w:rFonts w:hint="eastAsia"/>
                <w:bCs/>
                <w:color w:val="000000" w:themeColor="text1"/>
                <w:kern w:val="0"/>
              </w:rPr>
              <w:t>8</w:t>
            </w:r>
            <w:r w:rsidR="00A7386C" w:rsidRPr="001A5462">
              <w:rPr>
                <w:bCs/>
                <w:color w:val="000000" w:themeColor="text1"/>
                <w:kern w:val="0"/>
              </w:rPr>
              <w:t>:00-17:30</w:t>
            </w:r>
            <w:r w:rsidR="00A7386C" w:rsidRPr="001A5462">
              <w:rPr>
                <w:rFonts w:hint="eastAsia"/>
                <w:bCs/>
                <w:color w:val="000000" w:themeColor="text1"/>
                <w:kern w:val="0"/>
              </w:rPr>
              <w:t>及假日辦理活動或輪值。</w:t>
            </w:r>
          </w:p>
          <w:p w:rsidR="002043C9" w:rsidRPr="001A5462" w:rsidRDefault="002043C9" w:rsidP="001F18A5">
            <w:pPr>
              <w:widowControl/>
              <w:spacing w:line="0" w:lineRule="atLeast"/>
              <w:ind w:left="2640" w:hangingChars="1100" w:hanging="2640"/>
              <w:rPr>
                <w:b/>
                <w:color w:val="000000" w:themeColor="text1"/>
                <w:kern w:val="0"/>
                <w:u w:val="single"/>
              </w:rPr>
            </w:pPr>
            <w:r w:rsidRPr="001A5462">
              <w:rPr>
                <w:rFonts w:hint="eastAsia"/>
                <w:bCs/>
                <w:color w:val="000000" w:themeColor="text1"/>
                <w:kern w:val="0"/>
              </w:rPr>
              <w:t>(3)</w:t>
            </w:r>
            <w:r w:rsidRPr="001A5462">
              <w:rPr>
                <w:bCs/>
                <w:color w:val="000000" w:themeColor="text1"/>
                <w:kern w:val="0"/>
              </w:rPr>
              <w:t>工作人力</w:t>
            </w:r>
            <w:r w:rsidRPr="001A5462">
              <w:rPr>
                <w:rFonts w:hint="eastAsia"/>
                <w:bCs/>
                <w:color w:val="000000" w:themeColor="text1"/>
                <w:kern w:val="0"/>
              </w:rPr>
              <w:t>、</w:t>
            </w:r>
            <w:r w:rsidRPr="001A5462">
              <w:rPr>
                <w:bCs/>
                <w:color w:val="000000" w:themeColor="text1"/>
                <w:kern w:val="0"/>
              </w:rPr>
              <w:t>工作成果</w:t>
            </w:r>
            <w:r w:rsidRPr="001A5462">
              <w:rPr>
                <w:rFonts w:hint="eastAsia"/>
                <w:bCs/>
                <w:color w:val="000000" w:themeColor="text1"/>
                <w:kern w:val="0"/>
              </w:rPr>
              <w:t>：</w:t>
            </w:r>
            <w:r w:rsidR="00710C32" w:rsidRPr="001A5462">
              <w:rPr>
                <w:rFonts w:hint="eastAsia"/>
                <w:bCs/>
                <w:color w:val="000000" w:themeColor="text1"/>
                <w:kern w:val="0"/>
                <w:szCs w:val="28"/>
              </w:rPr>
              <w:t>長照中心評估組</w:t>
            </w:r>
            <w:r w:rsidR="00710C32" w:rsidRPr="001A5462">
              <w:rPr>
                <w:rFonts w:hint="eastAsia"/>
                <w:bCs/>
                <w:color w:val="000000" w:themeColor="text1"/>
                <w:kern w:val="0"/>
                <w:szCs w:val="28"/>
              </w:rPr>
              <w:t>60</w:t>
            </w:r>
            <w:r w:rsidR="00710C32" w:rsidRPr="001A5462">
              <w:rPr>
                <w:rFonts w:hint="eastAsia"/>
                <w:bCs/>
                <w:color w:val="000000" w:themeColor="text1"/>
                <w:kern w:val="0"/>
                <w:szCs w:val="28"/>
              </w:rPr>
              <w:t>人</w:t>
            </w:r>
            <w:r w:rsidR="00351053" w:rsidRPr="001A5462">
              <w:rPr>
                <w:bCs/>
                <w:color w:val="000000" w:themeColor="text1"/>
                <w:kern w:val="0"/>
              </w:rPr>
              <w:t>、</w:t>
            </w:r>
            <w:r w:rsidR="00710C32" w:rsidRPr="001A5462">
              <w:rPr>
                <w:rFonts w:hint="eastAsia"/>
                <w:bCs/>
                <w:color w:val="000000" w:themeColor="text1"/>
                <w:kern w:val="0"/>
                <w:szCs w:val="28"/>
              </w:rPr>
              <w:t>社區組</w:t>
            </w:r>
            <w:r w:rsidR="00710C32" w:rsidRPr="001A5462">
              <w:rPr>
                <w:rFonts w:hint="eastAsia"/>
                <w:bCs/>
                <w:color w:val="000000" w:themeColor="text1"/>
                <w:kern w:val="0"/>
                <w:szCs w:val="28"/>
              </w:rPr>
              <w:t>28</w:t>
            </w:r>
            <w:r w:rsidR="00710C32" w:rsidRPr="001A5462">
              <w:rPr>
                <w:rFonts w:hint="eastAsia"/>
                <w:bCs/>
                <w:color w:val="000000" w:themeColor="text1"/>
                <w:kern w:val="0"/>
                <w:szCs w:val="28"/>
              </w:rPr>
              <w:t>人</w:t>
            </w:r>
            <w:r w:rsidR="001F18A5" w:rsidRPr="001A5462">
              <w:rPr>
                <w:bCs/>
                <w:color w:val="000000" w:themeColor="text1"/>
                <w:kern w:val="0"/>
              </w:rPr>
              <w:t>、</w:t>
            </w:r>
            <w:r w:rsidR="00710C32" w:rsidRPr="001A5462">
              <w:rPr>
                <w:rFonts w:hint="eastAsia"/>
                <w:bCs/>
                <w:color w:val="000000" w:themeColor="text1"/>
                <w:kern w:val="0"/>
                <w:szCs w:val="28"/>
              </w:rPr>
              <w:t>社會安全網</w:t>
            </w:r>
            <w:r w:rsidR="00710C32" w:rsidRPr="001A5462">
              <w:rPr>
                <w:rFonts w:hint="eastAsia"/>
                <w:bCs/>
                <w:color w:val="000000" w:themeColor="text1"/>
                <w:kern w:val="0"/>
                <w:szCs w:val="28"/>
              </w:rPr>
              <w:t>21</w:t>
            </w:r>
            <w:r w:rsidR="00710C32" w:rsidRPr="001A5462">
              <w:rPr>
                <w:rFonts w:hint="eastAsia"/>
                <w:bCs/>
                <w:color w:val="000000" w:themeColor="text1"/>
                <w:kern w:val="0"/>
                <w:szCs w:val="28"/>
              </w:rPr>
              <w:t>人</w:t>
            </w:r>
            <w:r w:rsidR="001F18A5" w:rsidRPr="001A5462">
              <w:rPr>
                <w:bCs/>
                <w:color w:val="000000" w:themeColor="text1"/>
                <w:kern w:val="0"/>
              </w:rPr>
              <w:t>、</w:t>
            </w:r>
            <w:r w:rsidR="00710C32" w:rsidRPr="001A5462">
              <w:rPr>
                <w:rFonts w:hint="eastAsia"/>
                <w:bCs/>
                <w:color w:val="000000" w:themeColor="text1"/>
                <w:kern w:val="0"/>
                <w:szCs w:val="28"/>
              </w:rPr>
              <w:t>自殺防治中心</w:t>
            </w:r>
            <w:r w:rsidR="00710C32" w:rsidRPr="001A5462">
              <w:rPr>
                <w:rFonts w:hint="eastAsia"/>
                <w:bCs/>
                <w:color w:val="000000" w:themeColor="text1"/>
                <w:kern w:val="0"/>
                <w:szCs w:val="28"/>
              </w:rPr>
              <w:t>17</w:t>
            </w:r>
            <w:r w:rsidR="00710C32" w:rsidRPr="001A5462">
              <w:rPr>
                <w:rFonts w:hint="eastAsia"/>
                <w:bCs/>
                <w:color w:val="000000" w:themeColor="text1"/>
                <w:kern w:val="0"/>
                <w:szCs w:val="28"/>
              </w:rPr>
              <w:t>人</w:t>
            </w:r>
            <w:r w:rsidR="001F18A5" w:rsidRPr="001A5462">
              <w:rPr>
                <w:bCs/>
                <w:color w:val="000000" w:themeColor="text1"/>
                <w:kern w:val="0"/>
              </w:rPr>
              <w:t>、</w:t>
            </w:r>
            <w:r w:rsidR="00710C32" w:rsidRPr="001A5462">
              <w:rPr>
                <w:rFonts w:hint="eastAsia"/>
                <w:bCs/>
                <w:color w:val="000000" w:themeColor="text1"/>
                <w:kern w:val="0"/>
                <w:szCs w:val="28"/>
              </w:rPr>
              <w:t>毒品危害防制中心轉介服務組</w:t>
            </w:r>
            <w:r w:rsidR="00710C32" w:rsidRPr="001A5462">
              <w:rPr>
                <w:rFonts w:hint="eastAsia"/>
                <w:bCs/>
                <w:color w:val="000000" w:themeColor="text1"/>
                <w:kern w:val="0"/>
                <w:szCs w:val="28"/>
              </w:rPr>
              <w:t>23</w:t>
            </w:r>
            <w:r w:rsidR="00710C32" w:rsidRPr="001A5462">
              <w:rPr>
                <w:rFonts w:hint="eastAsia"/>
                <w:bCs/>
                <w:color w:val="000000" w:themeColor="text1"/>
                <w:kern w:val="0"/>
                <w:szCs w:val="28"/>
              </w:rPr>
              <w:t>人</w:t>
            </w:r>
            <w:r w:rsidR="001F18A5" w:rsidRPr="001A5462">
              <w:rPr>
                <w:bCs/>
                <w:color w:val="000000" w:themeColor="text1"/>
                <w:kern w:val="0"/>
              </w:rPr>
              <w:t>、</w:t>
            </w:r>
            <w:r w:rsidR="00710C32" w:rsidRPr="001A5462">
              <w:rPr>
                <w:rFonts w:hint="eastAsia"/>
                <w:bCs/>
                <w:color w:val="000000" w:themeColor="text1"/>
                <w:kern w:val="0"/>
                <w:szCs w:val="28"/>
              </w:rPr>
              <w:t>綜合規劃組</w:t>
            </w:r>
            <w:r w:rsidR="00710C32" w:rsidRPr="001A5462">
              <w:rPr>
                <w:rFonts w:hint="eastAsia"/>
                <w:bCs/>
                <w:color w:val="000000" w:themeColor="text1"/>
                <w:kern w:val="0"/>
                <w:szCs w:val="28"/>
              </w:rPr>
              <w:t>27</w:t>
            </w:r>
            <w:r w:rsidR="00710C32" w:rsidRPr="001A5462">
              <w:rPr>
                <w:rFonts w:hint="eastAsia"/>
                <w:bCs/>
                <w:color w:val="000000" w:themeColor="text1"/>
                <w:kern w:val="0"/>
                <w:szCs w:val="28"/>
              </w:rPr>
              <w:t>人</w:t>
            </w:r>
            <w:r w:rsidR="001F18A5" w:rsidRPr="001A5462">
              <w:rPr>
                <w:bCs/>
                <w:color w:val="000000" w:themeColor="text1"/>
                <w:kern w:val="0"/>
              </w:rPr>
              <w:t>、</w:t>
            </w:r>
            <w:r w:rsidR="00351053" w:rsidRPr="001A5462">
              <w:rPr>
                <w:rFonts w:hint="eastAsia"/>
                <w:bCs/>
                <w:color w:val="000000" w:themeColor="text1"/>
                <w:kern w:val="0"/>
                <w:szCs w:val="28"/>
              </w:rPr>
              <w:t>藥物濫用防制</w:t>
            </w:r>
            <w:r w:rsidR="00351053" w:rsidRPr="001A5462">
              <w:rPr>
                <w:rFonts w:hint="eastAsia"/>
                <w:bCs/>
                <w:color w:val="000000" w:themeColor="text1"/>
                <w:kern w:val="0"/>
                <w:szCs w:val="28"/>
              </w:rPr>
              <w:t>38</w:t>
            </w:r>
            <w:r w:rsidR="00351053" w:rsidRPr="001A5462">
              <w:rPr>
                <w:rFonts w:hint="eastAsia"/>
                <w:bCs/>
                <w:color w:val="000000" w:themeColor="text1"/>
                <w:kern w:val="0"/>
                <w:szCs w:val="28"/>
              </w:rPr>
              <w:t>人</w:t>
            </w:r>
            <w:r w:rsidR="001F18A5" w:rsidRPr="001A5462">
              <w:rPr>
                <w:rFonts w:hint="eastAsia"/>
                <w:bCs/>
                <w:color w:val="000000" w:themeColor="text1"/>
                <w:kern w:val="0"/>
                <w:szCs w:val="28"/>
              </w:rPr>
              <w:t>合計約</w:t>
            </w:r>
            <w:r w:rsidR="001F18A5" w:rsidRPr="001A5462">
              <w:rPr>
                <w:rFonts w:hint="eastAsia"/>
                <w:bCs/>
                <w:color w:val="000000" w:themeColor="text1"/>
                <w:kern w:val="0"/>
                <w:szCs w:val="28"/>
              </w:rPr>
              <w:t>214</w:t>
            </w:r>
            <w:r w:rsidR="001F18A5" w:rsidRPr="001A5462">
              <w:rPr>
                <w:rFonts w:hint="eastAsia"/>
                <w:bCs/>
                <w:color w:val="000000" w:themeColor="text1"/>
                <w:kern w:val="0"/>
                <w:szCs w:val="28"/>
              </w:rPr>
              <w:t>人</w:t>
            </w:r>
            <w:r w:rsidR="001F18A5" w:rsidRPr="001A5462">
              <w:rPr>
                <w:rFonts w:hint="eastAsia"/>
                <w:bCs/>
                <w:color w:val="000000" w:themeColor="text1"/>
                <w:kern w:val="0"/>
              </w:rPr>
              <w:t>。</w:t>
            </w:r>
          </w:p>
          <w:p w:rsidR="00F85731" w:rsidRPr="002C063D" w:rsidRDefault="002043C9" w:rsidP="00F85731">
            <w:pPr>
              <w:spacing w:line="400" w:lineRule="exact"/>
              <w:rPr>
                <w:rFonts w:ascii="標楷體" w:hAnsi="標楷體"/>
                <w:b/>
              </w:rPr>
            </w:pPr>
            <w:r w:rsidRPr="002C063D">
              <w:rPr>
                <w:rFonts w:ascii="標楷體" w:hAnsi="標楷體" w:hint="eastAsia"/>
                <w:b/>
              </w:rPr>
              <w:t>(三)</w:t>
            </w:r>
            <w:r w:rsidR="00F85731" w:rsidRPr="002C063D">
              <w:rPr>
                <w:rFonts w:ascii="標楷體" w:hAnsi="標楷體" w:hint="eastAsia"/>
                <w:b/>
              </w:rPr>
              <w:t>食</w:t>
            </w:r>
            <w:r w:rsidR="00F85731" w:rsidRPr="002C063D">
              <w:rPr>
                <w:rFonts w:ascii="標楷體" w:hAnsi="標楷體"/>
                <w:b/>
              </w:rPr>
              <w:t>安檢驗室</w:t>
            </w:r>
          </w:p>
          <w:p w:rsidR="00F85731" w:rsidRPr="002C063D" w:rsidRDefault="00F85731" w:rsidP="00F85731">
            <w:pPr>
              <w:spacing w:line="400" w:lineRule="exact"/>
              <w:rPr>
                <w:rFonts w:ascii="標楷體" w:hAnsi="標楷體"/>
                <w:b/>
              </w:rPr>
            </w:pPr>
            <w:r w:rsidRPr="002C063D">
              <w:rPr>
                <w:rFonts w:ascii="標楷體" w:hAnsi="標楷體" w:hint="eastAsia"/>
                <w:b/>
              </w:rPr>
              <w:t>效益</w:t>
            </w:r>
            <w:r w:rsidRPr="002C063D">
              <w:rPr>
                <w:rFonts w:ascii="標楷體" w:hAnsi="標楷體"/>
                <w:b/>
              </w:rPr>
              <w:t>分析指標：</w:t>
            </w:r>
          </w:p>
          <w:p w:rsidR="00F85731" w:rsidRPr="00F85731" w:rsidRDefault="00F85731" w:rsidP="004E51CE">
            <w:pPr>
              <w:tabs>
                <w:tab w:val="left" w:pos="900"/>
                <w:tab w:val="num" w:pos="1080"/>
              </w:tabs>
              <w:snapToGrid w:val="0"/>
              <w:spacing w:line="380" w:lineRule="exact"/>
              <w:jc w:val="both"/>
            </w:pPr>
            <w:r w:rsidRPr="00F85731">
              <w:rPr>
                <w:rFonts w:hAnsi="標楷體" w:hint="eastAsia"/>
              </w:rPr>
              <w:t>1.</w:t>
            </w:r>
            <w:r w:rsidRPr="00F85731">
              <w:rPr>
                <w:rFonts w:hAnsi="標楷體"/>
              </w:rPr>
              <w:t>擴增儀器設備，提升檢驗量能：每年完成食品檢驗數達</w:t>
            </w:r>
            <w:r w:rsidRPr="00F85731">
              <w:t>50</w:t>
            </w:r>
            <w:r w:rsidRPr="00F85731">
              <w:rPr>
                <w:rFonts w:hint="eastAsia"/>
              </w:rPr>
              <w:t>,</w:t>
            </w:r>
            <w:r w:rsidRPr="00F85731">
              <w:t>000</w:t>
            </w:r>
            <w:r w:rsidRPr="00F85731">
              <w:rPr>
                <w:rFonts w:hint="eastAsia"/>
              </w:rPr>
              <w:t>項次以上</w:t>
            </w:r>
            <w:r w:rsidRPr="00F85731">
              <w:rPr>
                <w:rFonts w:hAnsi="標楷體"/>
              </w:rPr>
              <w:t>。</w:t>
            </w:r>
          </w:p>
          <w:p w:rsidR="00F85731" w:rsidRPr="00F85731" w:rsidRDefault="00F85731" w:rsidP="004E51CE">
            <w:pPr>
              <w:snapToGrid w:val="0"/>
              <w:spacing w:line="380" w:lineRule="exact"/>
              <w:jc w:val="both"/>
            </w:pPr>
            <w:r w:rsidRPr="00F85731">
              <w:rPr>
                <w:rFonts w:hint="eastAsia"/>
              </w:rPr>
              <w:t>2.</w:t>
            </w:r>
            <w:r w:rsidRPr="00F85731">
              <w:t>新增檢驗項目</w:t>
            </w:r>
            <w:r w:rsidRPr="00F85731">
              <w:rPr>
                <w:rFonts w:hAnsi="標楷體"/>
              </w:rPr>
              <w:t>，強化檢驗效率</w:t>
            </w:r>
            <w:r w:rsidRPr="00F85731">
              <w:t>：每年至少</w:t>
            </w:r>
            <w:r w:rsidRPr="00F85731">
              <w:rPr>
                <w:rFonts w:hint="eastAsia"/>
              </w:rPr>
              <w:t>新增</w:t>
            </w:r>
            <w:r w:rsidRPr="00F85731">
              <w:t>建置</w:t>
            </w:r>
            <w:r w:rsidRPr="00F85731">
              <w:t>1</w:t>
            </w:r>
            <w:r w:rsidRPr="00F85731">
              <w:t>種檢驗方法，提升檢驗效率。</w:t>
            </w:r>
          </w:p>
          <w:p w:rsidR="00F85731" w:rsidRPr="00F85731" w:rsidRDefault="00F85731" w:rsidP="004E51CE">
            <w:pPr>
              <w:tabs>
                <w:tab w:val="num" w:pos="900"/>
              </w:tabs>
              <w:snapToGrid w:val="0"/>
              <w:spacing w:line="380" w:lineRule="exact"/>
              <w:jc w:val="both"/>
            </w:pPr>
            <w:r w:rsidRPr="00F85731">
              <w:rPr>
                <w:rFonts w:hint="eastAsia"/>
              </w:rPr>
              <w:t>3.</w:t>
            </w:r>
            <w:r w:rsidRPr="00F85731">
              <w:t>落實聯合分工</w:t>
            </w:r>
            <w:r w:rsidRPr="00F85731">
              <w:rPr>
                <w:rFonts w:hint="eastAsia"/>
              </w:rPr>
              <w:t>，強化實驗室網絡效能</w:t>
            </w:r>
            <w:r w:rsidRPr="00F85731">
              <w:t>：</w:t>
            </w:r>
            <w:r w:rsidRPr="00F85731">
              <w:rPr>
                <w:rFonts w:hAnsi="標楷體"/>
              </w:rPr>
              <w:t>完成聯合分工專責項目檢驗比</w:t>
            </w:r>
            <w:r w:rsidRPr="00F85731">
              <w:t>率達</w:t>
            </w:r>
            <w:r w:rsidRPr="00F85731">
              <w:t>100%</w:t>
            </w:r>
            <w:r w:rsidRPr="00F85731">
              <w:t>。</w:t>
            </w:r>
          </w:p>
          <w:p w:rsidR="00F85731" w:rsidRPr="00F85731" w:rsidRDefault="00F85731" w:rsidP="004E51CE">
            <w:pPr>
              <w:tabs>
                <w:tab w:val="num" w:pos="900"/>
              </w:tabs>
              <w:snapToGrid w:val="0"/>
              <w:spacing w:line="380" w:lineRule="exact"/>
              <w:jc w:val="both"/>
            </w:pPr>
            <w:r w:rsidRPr="00F85731">
              <w:rPr>
                <w:rFonts w:hAnsi="標楷體" w:hint="eastAsia"/>
              </w:rPr>
              <w:t>4.</w:t>
            </w:r>
            <w:r w:rsidRPr="00F85731">
              <w:rPr>
                <w:rFonts w:hAnsi="標楷體"/>
              </w:rPr>
              <w:t>強化人員訓練，提升檢驗技術：每年辦理檢驗相關訓練</w:t>
            </w:r>
            <w:r w:rsidRPr="00F85731">
              <w:t>6</w:t>
            </w:r>
            <w:r w:rsidRPr="00F85731">
              <w:rPr>
                <w:rFonts w:hAnsi="標楷體"/>
              </w:rPr>
              <w:t>場次。</w:t>
            </w:r>
          </w:p>
          <w:p w:rsidR="00F85731" w:rsidRPr="00F85731" w:rsidRDefault="00F85731" w:rsidP="004E51CE">
            <w:pPr>
              <w:tabs>
                <w:tab w:val="num" w:pos="900"/>
              </w:tabs>
              <w:snapToGrid w:val="0"/>
              <w:spacing w:line="380" w:lineRule="exact"/>
              <w:jc w:val="both"/>
            </w:pPr>
            <w:r w:rsidRPr="00F85731">
              <w:rPr>
                <w:rFonts w:hint="eastAsia"/>
              </w:rPr>
              <w:t>5.</w:t>
            </w:r>
            <w:r w:rsidRPr="00F85731">
              <w:t>參與能力試驗，確保檢驗能力：每年參加國內外能力試驗</w:t>
            </w:r>
            <w:r w:rsidRPr="00F85731">
              <w:t>7</w:t>
            </w:r>
            <w:r w:rsidRPr="00F85731">
              <w:t>場次。</w:t>
            </w:r>
          </w:p>
          <w:p w:rsidR="00F85731" w:rsidRPr="00F85731" w:rsidRDefault="00F85731" w:rsidP="004E51CE">
            <w:pPr>
              <w:tabs>
                <w:tab w:val="num" w:pos="900"/>
              </w:tabs>
              <w:snapToGrid w:val="0"/>
              <w:spacing w:line="380" w:lineRule="exact"/>
              <w:ind w:left="240" w:hangingChars="100" w:hanging="240"/>
              <w:jc w:val="both"/>
            </w:pPr>
            <w:r w:rsidRPr="00F85731">
              <w:rPr>
                <w:rFonts w:hint="eastAsia"/>
              </w:rPr>
              <w:t>6</w:t>
            </w:r>
            <w:r w:rsidRPr="00F85731">
              <w:t>.</w:t>
            </w:r>
            <w:r w:rsidRPr="00F85731">
              <w:t>參與論文發表，提升檢驗素質：</w:t>
            </w:r>
            <w:r w:rsidRPr="00F85731">
              <w:rPr>
                <w:rFonts w:hint="eastAsia"/>
              </w:rPr>
              <w:t>每年</w:t>
            </w:r>
            <w:r w:rsidRPr="00F85731">
              <w:t>參與</w:t>
            </w:r>
            <w:r w:rsidRPr="00F85731">
              <w:rPr>
                <w:rFonts w:hint="eastAsia"/>
              </w:rPr>
              <w:t>食品檢驗科技研討會</w:t>
            </w:r>
            <w:r w:rsidRPr="00F85731">
              <w:t>口頭或壁報論文發表篇數達</w:t>
            </w:r>
            <w:r w:rsidRPr="00F85731">
              <w:t>3</w:t>
            </w:r>
            <w:r w:rsidRPr="00F85731">
              <w:t>篇。</w:t>
            </w:r>
          </w:p>
          <w:p w:rsidR="00F85731" w:rsidRPr="00F85731" w:rsidRDefault="00F85731" w:rsidP="004E51CE">
            <w:pPr>
              <w:tabs>
                <w:tab w:val="num" w:pos="900"/>
              </w:tabs>
              <w:snapToGrid w:val="0"/>
              <w:spacing w:line="380" w:lineRule="exact"/>
              <w:ind w:left="240" w:hangingChars="100" w:hanging="240"/>
              <w:jc w:val="both"/>
              <w:rPr>
                <w:rFonts w:hAnsi="標楷體"/>
              </w:rPr>
            </w:pPr>
            <w:r w:rsidRPr="00F85731">
              <w:rPr>
                <w:rFonts w:hint="eastAsia"/>
              </w:rPr>
              <w:t>7.</w:t>
            </w:r>
            <w:r w:rsidRPr="00F85731">
              <w:t>簡易試劑滴滴護</w:t>
            </w:r>
            <w:r w:rsidRPr="00F85731">
              <w:rPr>
                <w:rFonts w:hAnsi="標楷體" w:hint="eastAsia"/>
              </w:rPr>
              <w:t>健康，讓民眾食在安心：每年辦理食品簡易檢查試劑發放宣導數量達</w:t>
            </w:r>
            <w:r w:rsidRPr="00F85731">
              <w:rPr>
                <w:rFonts w:hAnsi="標楷體" w:hint="eastAsia"/>
              </w:rPr>
              <w:t>5,000</w:t>
            </w:r>
            <w:r w:rsidRPr="00F85731">
              <w:rPr>
                <w:rFonts w:hAnsi="標楷體" w:hint="eastAsia"/>
              </w:rPr>
              <w:t>份以上。</w:t>
            </w:r>
          </w:p>
          <w:p w:rsidR="008852A6" w:rsidRDefault="00C91E73" w:rsidP="004E51CE">
            <w:pPr>
              <w:widowControl/>
              <w:spacing w:line="380" w:lineRule="exact"/>
              <w:ind w:left="2400" w:hangingChars="1000" w:hanging="2400"/>
              <w:rPr>
                <w:color w:val="000000"/>
                <w:kern w:val="0"/>
              </w:rPr>
            </w:pPr>
            <w:r w:rsidRPr="00296A8E">
              <w:rPr>
                <w:rFonts w:hint="eastAsia"/>
                <w:color w:val="000000"/>
                <w:kern w:val="0"/>
              </w:rPr>
              <w:t>三</w:t>
            </w:r>
            <w:r w:rsidRPr="00296A8E">
              <w:rPr>
                <w:color w:val="000000"/>
                <w:kern w:val="0"/>
              </w:rPr>
              <w:t>、</w:t>
            </w:r>
            <w:r w:rsidRPr="00296A8E">
              <w:rPr>
                <w:color w:val="000000"/>
                <w:kern w:val="0"/>
              </w:rPr>
              <w:t>[</w:t>
            </w:r>
            <w:r w:rsidRPr="00296A8E">
              <w:rPr>
                <w:rFonts w:hint="eastAsia"/>
                <w:color w:val="000000"/>
              </w:rPr>
              <w:t>預期採購期程、開始使用日期及使用年限</w:t>
            </w:r>
            <w:r w:rsidRPr="00296A8E">
              <w:rPr>
                <w:color w:val="000000"/>
                <w:kern w:val="0"/>
              </w:rPr>
              <w:t>]</w:t>
            </w:r>
            <w:r w:rsidRPr="00296A8E">
              <w:rPr>
                <w:color w:val="000000"/>
                <w:kern w:val="0"/>
              </w:rPr>
              <w:t>：</w:t>
            </w:r>
          </w:p>
          <w:p w:rsidR="00C91E73" w:rsidRPr="00296A8E" w:rsidRDefault="00073399" w:rsidP="004E51CE">
            <w:pPr>
              <w:widowControl/>
              <w:spacing w:line="380" w:lineRule="exact"/>
              <w:ind w:left="2400" w:hangingChars="1000" w:hanging="2400"/>
              <w:rPr>
                <w:color w:val="000000"/>
                <w:kern w:val="0"/>
              </w:rPr>
            </w:pPr>
            <w:r w:rsidRPr="001A5462">
              <w:rPr>
                <w:rFonts w:hint="eastAsia"/>
                <w:color w:val="000000" w:themeColor="text1"/>
                <w:kern w:val="0"/>
              </w:rPr>
              <w:t>建築工程預計</w:t>
            </w:r>
            <w:r w:rsidRPr="001A5462">
              <w:rPr>
                <w:rFonts w:hint="eastAsia"/>
                <w:color w:val="000000" w:themeColor="text1"/>
                <w:kern w:val="0"/>
              </w:rPr>
              <w:t>107</w:t>
            </w:r>
            <w:r w:rsidRPr="001A5462">
              <w:rPr>
                <w:rFonts w:hint="eastAsia"/>
                <w:color w:val="000000" w:themeColor="text1"/>
                <w:kern w:val="0"/>
              </w:rPr>
              <w:t>年設計規劃</w:t>
            </w:r>
            <w:r w:rsidRPr="001A5462">
              <w:rPr>
                <w:bCs/>
                <w:color w:val="000000" w:themeColor="text1"/>
                <w:kern w:val="0"/>
              </w:rPr>
              <w:t>、</w:t>
            </w:r>
            <w:r w:rsidRPr="001A5462">
              <w:rPr>
                <w:rFonts w:hint="eastAsia"/>
                <w:color w:val="000000" w:themeColor="text1"/>
                <w:kern w:val="0"/>
              </w:rPr>
              <w:t>108</w:t>
            </w:r>
            <w:r w:rsidRPr="001A5462">
              <w:rPr>
                <w:rFonts w:hint="eastAsia"/>
                <w:color w:val="000000" w:themeColor="text1"/>
                <w:kern w:val="0"/>
              </w:rPr>
              <w:t>年完成發包，</w:t>
            </w:r>
            <w:r w:rsidRPr="001A5462">
              <w:rPr>
                <w:rFonts w:hint="eastAsia"/>
                <w:color w:val="000000" w:themeColor="text1"/>
                <w:kern w:val="0"/>
              </w:rPr>
              <w:t>11</w:t>
            </w:r>
            <w:r w:rsidR="001A5462" w:rsidRPr="001A5462">
              <w:rPr>
                <w:rFonts w:hint="eastAsia"/>
                <w:color w:val="000000" w:themeColor="text1"/>
                <w:kern w:val="0"/>
              </w:rPr>
              <w:t>1</w:t>
            </w:r>
            <w:r w:rsidRPr="001A5462">
              <w:rPr>
                <w:rFonts w:hint="eastAsia"/>
                <w:color w:val="000000" w:themeColor="text1"/>
                <w:kern w:val="0"/>
              </w:rPr>
              <w:t>年竣工。</w:t>
            </w:r>
          </w:p>
        </w:tc>
      </w:tr>
    </w:tbl>
    <w:p w:rsidR="00BC5DEF" w:rsidRPr="00C91E73" w:rsidRDefault="00BC5DEF" w:rsidP="008852A6"/>
    <w:sectPr w:rsidR="00BC5DEF" w:rsidRPr="00C91E73" w:rsidSect="00B1591E">
      <w:footerReference w:type="default" r:id="rId9"/>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B06" w:rsidRDefault="001B3B06" w:rsidP="00732739">
      <w:r>
        <w:separator/>
      </w:r>
    </w:p>
  </w:endnote>
  <w:endnote w:type="continuationSeparator" w:id="0">
    <w:p w:rsidR="001B3B06" w:rsidRDefault="001B3B06" w:rsidP="0073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084626"/>
      <w:docPartObj>
        <w:docPartGallery w:val="Page Numbers (Bottom of Page)"/>
        <w:docPartUnique/>
      </w:docPartObj>
    </w:sdtPr>
    <w:sdtEndPr/>
    <w:sdtContent>
      <w:p w:rsidR="005E37B2" w:rsidRDefault="005E37B2">
        <w:pPr>
          <w:pStyle w:val="a4"/>
          <w:jc w:val="right"/>
        </w:pPr>
        <w:r>
          <w:fldChar w:fldCharType="begin"/>
        </w:r>
        <w:r>
          <w:instrText>PAGE   \* MERGEFORMAT</w:instrText>
        </w:r>
        <w:r>
          <w:fldChar w:fldCharType="separate"/>
        </w:r>
        <w:r w:rsidR="00A16A3D" w:rsidRPr="00A16A3D">
          <w:rPr>
            <w:noProof/>
            <w:lang w:val="zh-TW"/>
          </w:rPr>
          <w:t>2</w:t>
        </w:r>
        <w:r>
          <w:fldChar w:fldCharType="end"/>
        </w:r>
      </w:p>
    </w:sdtContent>
  </w:sdt>
  <w:p w:rsidR="005E37B2" w:rsidRDefault="005E37B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B06" w:rsidRDefault="001B3B06" w:rsidP="00732739">
      <w:r>
        <w:separator/>
      </w:r>
    </w:p>
  </w:footnote>
  <w:footnote w:type="continuationSeparator" w:id="0">
    <w:p w:rsidR="001B3B06" w:rsidRDefault="001B3B06" w:rsidP="00732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0E18"/>
    <w:multiLevelType w:val="hybridMultilevel"/>
    <w:tmpl w:val="72B4D618"/>
    <w:lvl w:ilvl="0" w:tplc="4D8E9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914AB9"/>
    <w:multiLevelType w:val="hybridMultilevel"/>
    <w:tmpl w:val="DDE88700"/>
    <w:lvl w:ilvl="0" w:tplc="7A4E9560">
      <w:start w:val="1"/>
      <w:numFmt w:val="bullet"/>
      <w:lvlText w:val=""/>
      <w:lvlJc w:val="left"/>
      <w:pPr>
        <w:tabs>
          <w:tab w:val="num" w:pos="720"/>
        </w:tabs>
        <w:ind w:left="720" w:hanging="360"/>
      </w:pPr>
      <w:rPr>
        <w:rFonts w:ascii="Wingdings" w:hAnsi="Wingdings" w:hint="default"/>
      </w:rPr>
    </w:lvl>
    <w:lvl w:ilvl="1" w:tplc="1C823042" w:tentative="1">
      <w:start w:val="1"/>
      <w:numFmt w:val="bullet"/>
      <w:lvlText w:val=""/>
      <w:lvlJc w:val="left"/>
      <w:pPr>
        <w:tabs>
          <w:tab w:val="num" w:pos="1440"/>
        </w:tabs>
        <w:ind w:left="1440" w:hanging="360"/>
      </w:pPr>
      <w:rPr>
        <w:rFonts w:ascii="Wingdings" w:hAnsi="Wingdings" w:hint="default"/>
      </w:rPr>
    </w:lvl>
    <w:lvl w:ilvl="2" w:tplc="C32E2C58">
      <w:start w:val="1"/>
      <w:numFmt w:val="bullet"/>
      <w:lvlText w:val=""/>
      <w:lvlJc w:val="left"/>
      <w:pPr>
        <w:tabs>
          <w:tab w:val="num" w:pos="2160"/>
        </w:tabs>
        <w:ind w:left="2160" w:hanging="360"/>
      </w:pPr>
      <w:rPr>
        <w:rFonts w:ascii="Wingdings" w:hAnsi="Wingdings" w:hint="default"/>
      </w:rPr>
    </w:lvl>
    <w:lvl w:ilvl="3" w:tplc="AE80030E" w:tentative="1">
      <w:start w:val="1"/>
      <w:numFmt w:val="bullet"/>
      <w:lvlText w:val=""/>
      <w:lvlJc w:val="left"/>
      <w:pPr>
        <w:tabs>
          <w:tab w:val="num" w:pos="2880"/>
        </w:tabs>
        <w:ind w:left="2880" w:hanging="360"/>
      </w:pPr>
      <w:rPr>
        <w:rFonts w:ascii="Wingdings" w:hAnsi="Wingdings" w:hint="default"/>
      </w:rPr>
    </w:lvl>
    <w:lvl w:ilvl="4" w:tplc="94482F2A" w:tentative="1">
      <w:start w:val="1"/>
      <w:numFmt w:val="bullet"/>
      <w:lvlText w:val=""/>
      <w:lvlJc w:val="left"/>
      <w:pPr>
        <w:tabs>
          <w:tab w:val="num" w:pos="3600"/>
        </w:tabs>
        <w:ind w:left="3600" w:hanging="360"/>
      </w:pPr>
      <w:rPr>
        <w:rFonts w:ascii="Wingdings" w:hAnsi="Wingdings" w:hint="default"/>
      </w:rPr>
    </w:lvl>
    <w:lvl w:ilvl="5" w:tplc="AE1A85FC" w:tentative="1">
      <w:start w:val="1"/>
      <w:numFmt w:val="bullet"/>
      <w:lvlText w:val=""/>
      <w:lvlJc w:val="left"/>
      <w:pPr>
        <w:tabs>
          <w:tab w:val="num" w:pos="4320"/>
        </w:tabs>
        <w:ind w:left="4320" w:hanging="360"/>
      </w:pPr>
      <w:rPr>
        <w:rFonts w:ascii="Wingdings" w:hAnsi="Wingdings" w:hint="default"/>
      </w:rPr>
    </w:lvl>
    <w:lvl w:ilvl="6" w:tplc="B6521594" w:tentative="1">
      <w:start w:val="1"/>
      <w:numFmt w:val="bullet"/>
      <w:lvlText w:val=""/>
      <w:lvlJc w:val="left"/>
      <w:pPr>
        <w:tabs>
          <w:tab w:val="num" w:pos="5040"/>
        </w:tabs>
        <w:ind w:left="5040" w:hanging="360"/>
      </w:pPr>
      <w:rPr>
        <w:rFonts w:ascii="Wingdings" w:hAnsi="Wingdings" w:hint="default"/>
      </w:rPr>
    </w:lvl>
    <w:lvl w:ilvl="7" w:tplc="0EB0B70E" w:tentative="1">
      <w:start w:val="1"/>
      <w:numFmt w:val="bullet"/>
      <w:lvlText w:val=""/>
      <w:lvlJc w:val="left"/>
      <w:pPr>
        <w:tabs>
          <w:tab w:val="num" w:pos="5760"/>
        </w:tabs>
        <w:ind w:left="5760" w:hanging="360"/>
      </w:pPr>
      <w:rPr>
        <w:rFonts w:ascii="Wingdings" w:hAnsi="Wingdings" w:hint="default"/>
      </w:rPr>
    </w:lvl>
    <w:lvl w:ilvl="8" w:tplc="36A815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81260"/>
    <w:multiLevelType w:val="hybridMultilevel"/>
    <w:tmpl w:val="BCA0FC94"/>
    <w:lvl w:ilvl="0" w:tplc="A19683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86E0ACB"/>
    <w:multiLevelType w:val="hybridMultilevel"/>
    <w:tmpl w:val="642EBAB2"/>
    <w:lvl w:ilvl="0" w:tplc="CC0EE29A">
      <w:start w:val="1"/>
      <w:numFmt w:val="bullet"/>
      <w:lvlText w:val=""/>
      <w:lvlJc w:val="left"/>
      <w:pPr>
        <w:tabs>
          <w:tab w:val="num" w:pos="720"/>
        </w:tabs>
        <w:ind w:left="720" w:hanging="360"/>
      </w:pPr>
      <w:rPr>
        <w:rFonts w:ascii="Wingdings 2" w:hAnsi="Wingdings 2" w:hint="default"/>
      </w:rPr>
    </w:lvl>
    <w:lvl w:ilvl="1" w:tplc="D79052CC" w:tentative="1">
      <w:start w:val="1"/>
      <w:numFmt w:val="bullet"/>
      <w:lvlText w:val=""/>
      <w:lvlJc w:val="left"/>
      <w:pPr>
        <w:tabs>
          <w:tab w:val="num" w:pos="1440"/>
        </w:tabs>
        <w:ind w:left="1440" w:hanging="360"/>
      </w:pPr>
      <w:rPr>
        <w:rFonts w:ascii="Wingdings 2" w:hAnsi="Wingdings 2" w:hint="default"/>
      </w:rPr>
    </w:lvl>
    <w:lvl w:ilvl="2" w:tplc="B588B15A" w:tentative="1">
      <w:start w:val="1"/>
      <w:numFmt w:val="bullet"/>
      <w:lvlText w:val=""/>
      <w:lvlJc w:val="left"/>
      <w:pPr>
        <w:tabs>
          <w:tab w:val="num" w:pos="2160"/>
        </w:tabs>
        <w:ind w:left="2160" w:hanging="360"/>
      </w:pPr>
      <w:rPr>
        <w:rFonts w:ascii="Wingdings 2" w:hAnsi="Wingdings 2" w:hint="default"/>
      </w:rPr>
    </w:lvl>
    <w:lvl w:ilvl="3" w:tplc="44062B22" w:tentative="1">
      <w:start w:val="1"/>
      <w:numFmt w:val="bullet"/>
      <w:lvlText w:val=""/>
      <w:lvlJc w:val="left"/>
      <w:pPr>
        <w:tabs>
          <w:tab w:val="num" w:pos="2880"/>
        </w:tabs>
        <w:ind w:left="2880" w:hanging="360"/>
      </w:pPr>
      <w:rPr>
        <w:rFonts w:ascii="Wingdings 2" w:hAnsi="Wingdings 2" w:hint="default"/>
      </w:rPr>
    </w:lvl>
    <w:lvl w:ilvl="4" w:tplc="234ED15C" w:tentative="1">
      <w:start w:val="1"/>
      <w:numFmt w:val="bullet"/>
      <w:lvlText w:val=""/>
      <w:lvlJc w:val="left"/>
      <w:pPr>
        <w:tabs>
          <w:tab w:val="num" w:pos="3600"/>
        </w:tabs>
        <w:ind w:left="3600" w:hanging="360"/>
      </w:pPr>
      <w:rPr>
        <w:rFonts w:ascii="Wingdings 2" w:hAnsi="Wingdings 2" w:hint="default"/>
      </w:rPr>
    </w:lvl>
    <w:lvl w:ilvl="5" w:tplc="4572716E" w:tentative="1">
      <w:start w:val="1"/>
      <w:numFmt w:val="bullet"/>
      <w:lvlText w:val=""/>
      <w:lvlJc w:val="left"/>
      <w:pPr>
        <w:tabs>
          <w:tab w:val="num" w:pos="4320"/>
        </w:tabs>
        <w:ind w:left="4320" w:hanging="360"/>
      </w:pPr>
      <w:rPr>
        <w:rFonts w:ascii="Wingdings 2" w:hAnsi="Wingdings 2" w:hint="default"/>
      </w:rPr>
    </w:lvl>
    <w:lvl w:ilvl="6" w:tplc="EE2232E2" w:tentative="1">
      <w:start w:val="1"/>
      <w:numFmt w:val="bullet"/>
      <w:lvlText w:val=""/>
      <w:lvlJc w:val="left"/>
      <w:pPr>
        <w:tabs>
          <w:tab w:val="num" w:pos="5040"/>
        </w:tabs>
        <w:ind w:left="5040" w:hanging="360"/>
      </w:pPr>
      <w:rPr>
        <w:rFonts w:ascii="Wingdings 2" w:hAnsi="Wingdings 2" w:hint="default"/>
      </w:rPr>
    </w:lvl>
    <w:lvl w:ilvl="7" w:tplc="651679AA" w:tentative="1">
      <w:start w:val="1"/>
      <w:numFmt w:val="bullet"/>
      <w:lvlText w:val=""/>
      <w:lvlJc w:val="left"/>
      <w:pPr>
        <w:tabs>
          <w:tab w:val="num" w:pos="5760"/>
        </w:tabs>
        <w:ind w:left="5760" w:hanging="360"/>
      </w:pPr>
      <w:rPr>
        <w:rFonts w:ascii="Wingdings 2" w:hAnsi="Wingdings 2" w:hint="default"/>
      </w:rPr>
    </w:lvl>
    <w:lvl w:ilvl="8" w:tplc="DE2243C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73"/>
    <w:rsid w:val="000075AF"/>
    <w:rsid w:val="0005360F"/>
    <w:rsid w:val="00053984"/>
    <w:rsid w:val="00073399"/>
    <w:rsid w:val="000819E8"/>
    <w:rsid w:val="001175C9"/>
    <w:rsid w:val="00117CB4"/>
    <w:rsid w:val="00155FA6"/>
    <w:rsid w:val="0016375F"/>
    <w:rsid w:val="001851C1"/>
    <w:rsid w:val="001A5462"/>
    <w:rsid w:val="001B3B06"/>
    <w:rsid w:val="001F18A5"/>
    <w:rsid w:val="00203D5E"/>
    <w:rsid w:val="002043C9"/>
    <w:rsid w:val="002C063D"/>
    <w:rsid w:val="002E14C5"/>
    <w:rsid w:val="0033066C"/>
    <w:rsid w:val="00350CCC"/>
    <w:rsid w:val="00351053"/>
    <w:rsid w:val="00365D9A"/>
    <w:rsid w:val="003B1A14"/>
    <w:rsid w:val="003B24E1"/>
    <w:rsid w:val="004239C0"/>
    <w:rsid w:val="00467364"/>
    <w:rsid w:val="004E51CE"/>
    <w:rsid w:val="0051065A"/>
    <w:rsid w:val="005E37B2"/>
    <w:rsid w:val="0060607A"/>
    <w:rsid w:val="006B130E"/>
    <w:rsid w:val="006B40AD"/>
    <w:rsid w:val="006F1610"/>
    <w:rsid w:val="00710C32"/>
    <w:rsid w:val="00715F34"/>
    <w:rsid w:val="00732739"/>
    <w:rsid w:val="00766017"/>
    <w:rsid w:val="00782564"/>
    <w:rsid w:val="0079139A"/>
    <w:rsid w:val="007E0ACC"/>
    <w:rsid w:val="008852A6"/>
    <w:rsid w:val="00890220"/>
    <w:rsid w:val="0089646D"/>
    <w:rsid w:val="008B4088"/>
    <w:rsid w:val="008E0199"/>
    <w:rsid w:val="008E3346"/>
    <w:rsid w:val="00905C90"/>
    <w:rsid w:val="0093734A"/>
    <w:rsid w:val="009644D5"/>
    <w:rsid w:val="0096702C"/>
    <w:rsid w:val="00977DC7"/>
    <w:rsid w:val="00981A82"/>
    <w:rsid w:val="009F0BF7"/>
    <w:rsid w:val="00A16A3D"/>
    <w:rsid w:val="00A23286"/>
    <w:rsid w:val="00A23CFD"/>
    <w:rsid w:val="00A30FD4"/>
    <w:rsid w:val="00A641DB"/>
    <w:rsid w:val="00A7386C"/>
    <w:rsid w:val="00AA0251"/>
    <w:rsid w:val="00AD32D7"/>
    <w:rsid w:val="00AD549F"/>
    <w:rsid w:val="00B03FA5"/>
    <w:rsid w:val="00B1591E"/>
    <w:rsid w:val="00B356D5"/>
    <w:rsid w:val="00B555A4"/>
    <w:rsid w:val="00B55964"/>
    <w:rsid w:val="00BA5BF8"/>
    <w:rsid w:val="00BA7A99"/>
    <w:rsid w:val="00BC5DEF"/>
    <w:rsid w:val="00C05C6D"/>
    <w:rsid w:val="00C43DA5"/>
    <w:rsid w:val="00C63047"/>
    <w:rsid w:val="00C91E73"/>
    <w:rsid w:val="00CC7796"/>
    <w:rsid w:val="00CE65E3"/>
    <w:rsid w:val="00D30F61"/>
    <w:rsid w:val="00D3290E"/>
    <w:rsid w:val="00D76A0E"/>
    <w:rsid w:val="00DF6F7D"/>
    <w:rsid w:val="00DF73E8"/>
    <w:rsid w:val="00E50977"/>
    <w:rsid w:val="00E52208"/>
    <w:rsid w:val="00E6597D"/>
    <w:rsid w:val="00E86FA9"/>
    <w:rsid w:val="00F51CC4"/>
    <w:rsid w:val="00F85731"/>
    <w:rsid w:val="00FC5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9AF7A"/>
  <w15:docId w15:val="{FE500581-503E-42C2-A239-987B454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E73"/>
    <w:pPr>
      <w:widowControl w:val="0"/>
    </w:pPr>
    <w:rPr>
      <w:rFonts w:eastAsia="標楷體"/>
      <w:kern w:val="2"/>
      <w:sz w:val="24"/>
      <w:szCs w:val="24"/>
    </w:rPr>
  </w:style>
  <w:style w:type="paragraph" w:styleId="2">
    <w:name w:val="heading 2"/>
    <w:basedOn w:val="a"/>
    <w:next w:val="a"/>
    <w:autoRedefine/>
    <w:qFormat/>
    <w:rsid w:val="00C91E73"/>
    <w:pPr>
      <w:keepNext/>
      <w:spacing w:line="400" w:lineRule="exact"/>
      <w:outlineLvl w:val="1"/>
    </w:pPr>
    <w:rPr>
      <w:rFonts w:ascii="標楷體" w:hAnsi="標楷體"/>
      <w:color w:val="000000"/>
      <w:sz w:val="28"/>
      <w:szCs w:val="28"/>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91E73"/>
    <w:pPr>
      <w:tabs>
        <w:tab w:val="center" w:pos="4153"/>
        <w:tab w:val="right" w:pos="8306"/>
      </w:tabs>
      <w:snapToGrid w:val="0"/>
    </w:pPr>
    <w:rPr>
      <w:sz w:val="20"/>
      <w:szCs w:val="20"/>
    </w:rPr>
  </w:style>
  <w:style w:type="paragraph" w:styleId="a4">
    <w:name w:val="footer"/>
    <w:basedOn w:val="a"/>
    <w:link w:val="a5"/>
    <w:uiPriority w:val="99"/>
    <w:rsid w:val="00732739"/>
    <w:pPr>
      <w:tabs>
        <w:tab w:val="center" w:pos="4153"/>
        <w:tab w:val="right" w:pos="8306"/>
      </w:tabs>
      <w:snapToGrid w:val="0"/>
    </w:pPr>
    <w:rPr>
      <w:sz w:val="20"/>
      <w:szCs w:val="20"/>
    </w:rPr>
  </w:style>
  <w:style w:type="character" w:customStyle="1" w:styleId="a5">
    <w:name w:val="頁尾 字元"/>
    <w:link w:val="a4"/>
    <w:uiPriority w:val="99"/>
    <w:rsid w:val="00732739"/>
    <w:rPr>
      <w:rFonts w:eastAsia="標楷體"/>
      <w:kern w:val="2"/>
    </w:rPr>
  </w:style>
  <w:style w:type="paragraph" w:styleId="a6">
    <w:name w:val="List Paragraph"/>
    <w:basedOn w:val="a"/>
    <w:uiPriority w:val="34"/>
    <w:qFormat/>
    <w:rsid w:val="0051065A"/>
    <w:pPr>
      <w:widowControl/>
      <w:ind w:leftChars="200" w:left="480"/>
    </w:pPr>
    <w:rPr>
      <w:rFonts w:ascii="新細明體" w:eastAsia="新細明體" w:hAnsi="新細明體" w:cs="新細明體"/>
      <w:kern w:val="0"/>
    </w:rPr>
  </w:style>
  <w:style w:type="paragraph" w:styleId="a7">
    <w:name w:val="Balloon Text"/>
    <w:basedOn w:val="a"/>
    <w:link w:val="a8"/>
    <w:rsid w:val="00365D9A"/>
    <w:rPr>
      <w:rFonts w:ascii="Cambria" w:eastAsia="新細明體" w:hAnsi="Cambria"/>
      <w:sz w:val="18"/>
      <w:szCs w:val="18"/>
    </w:rPr>
  </w:style>
  <w:style w:type="character" w:customStyle="1" w:styleId="a8">
    <w:name w:val="註解方塊文字 字元"/>
    <w:link w:val="a7"/>
    <w:rsid w:val="00365D9A"/>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37568">
      <w:bodyDiv w:val="1"/>
      <w:marLeft w:val="0"/>
      <w:marRight w:val="0"/>
      <w:marTop w:val="0"/>
      <w:marBottom w:val="0"/>
      <w:divBdr>
        <w:top w:val="none" w:sz="0" w:space="0" w:color="auto"/>
        <w:left w:val="none" w:sz="0" w:space="0" w:color="auto"/>
        <w:bottom w:val="none" w:sz="0" w:space="0" w:color="auto"/>
        <w:right w:val="none" w:sz="0" w:space="0" w:color="auto"/>
      </w:divBdr>
      <w:divsChild>
        <w:div w:id="355932403">
          <w:marLeft w:val="2059"/>
          <w:marRight w:val="0"/>
          <w:marTop w:val="86"/>
          <w:marBottom w:val="0"/>
          <w:divBdr>
            <w:top w:val="none" w:sz="0" w:space="0" w:color="auto"/>
            <w:left w:val="none" w:sz="0" w:space="0" w:color="auto"/>
            <w:bottom w:val="none" w:sz="0" w:space="0" w:color="auto"/>
            <w:right w:val="none" w:sz="0" w:space="0" w:color="auto"/>
          </w:divBdr>
        </w:div>
        <w:div w:id="525408260">
          <w:marLeft w:val="2059"/>
          <w:marRight w:val="0"/>
          <w:marTop w:val="86"/>
          <w:marBottom w:val="0"/>
          <w:divBdr>
            <w:top w:val="none" w:sz="0" w:space="0" w:color="auto"/>
            <w:left w:val="none" w:sz="0" w:space="0" w:color="auto"/>
            <w:bottom w:val="none" w:sz="0" w:space="0" w:color="auto"/>
            <w:right w:val="none" w:sz="0" w:space="0" w:color="auto"/>
          </w:divBdr>
        </w:div>
        <w:div w:id="1199975454">
          <w:marLeft w:val="2059"/>
          <w:marRight w:val="0"/>
          <w:marTop w:val="86"/>
          <w:marBottom w:val="0"/>
          <w:divBdr>
            <w:top w:val="none" w:sz="0" w:space="0" w:color="auto"/>
            <w:left w:val="none" w:sz="0" w:space="0" w:color="auto"/>
            <w:bottom w:val="none" w:sz="0" w:space="0" w:color="auto"/>
            <w:right w:val="none" w:sz="0" w:space="0" w:color="auto"/>
          </w:divBdr>
        </w:div>
        <w:div w:id="1983191894">
          <w:marLeft w:val="2059"/>
          <w:marRight w:val="0"/>
          <w:marTop w:val="86"/>
          <w:marBottom w:val="0"/>
          <w:divBdr>
            <w:top w:val="none" w:sz="0" w:space="0" w:color="auto"/>
            <w:left w:val="none" w:sz="0" w:space="0" w:color="auto"/>
            <w:bottom w:val="none" w:sz="0" w:space="0" w:color="auto"/>
            <w:right w:val="none" w:sz="0" w:space="0" w:color="auto"/>
          </w:divBdr>
        </w:div>
      </w:divsChild>
    </w:div>
    <w:div w:id="1738934947">
      <w:bodyDiv w:val="1"/>
      <w:marLeft w:val="0"/>
      <w:marRight w:val="0"/>
      <w:marTop w:val="0"/>
      <w:marBottom w:val="0"/>
      <w:divBdr>
        <w:top w:val="none" w:sz="0" w:space="0" w:color="auto"/>
        <w:left w:val="none" w:sz="0" w:space="0" w:color="auto"/>
        <w:bottom w:val="none" w:sz="0" w:space="0" w:color="auto"/>
        <w:right w:val="none" w:sz="0" w:space="0" w:color="auto"/>
      </w:divBdr>
      <w:divsChild>
        <w:div w:id="201237182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1.gp.gov.tw/key/gov/fly_yperfor_new.html" TargetMode="External"/><Relationship Id="rId3" Type="http://schemas.openxmlformats.org/officeDocument/2006/relationships/settings" Target="settings.xml"/><Relationship Id="rId7" Type="http://schemas.openxmlformats.org/officeDocument/2006/relationships/hyperlink" Target="http://web1.gp.gov.tw/key/gov/fly_yperfor_n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325</Words>
  <Characters>1857</Characters>
  <Application>Microsoft Office Word</Application>
  <DocSecurity>0</DocSecurity>
  <Lines>15</Lines>
  <Paragraphs>4</Paragraphs>
  <ScaleCrop>false</ScaleCrop>
  <Company>臺北市政府工務局</Company>
  <LinksUpToDate>false</LinksUpToDate>
  <CharactersWithSpaces>2178</CharactersWithSpaces>
  <SharedDoc>false</SharedDoc>
  <HLinks>
    <vt:vector size="12" baseType="variant">
      <vt:variant>
        <vt:i4>7471146</vt:i4>
      </vt:variant>
      <vt:variant>
        <vt:i4>3</vt:i4>
      </vt:variant>
      <vt:variant>
        <vt:i4>0</vt:i4>
      </vt:variant>
      <vt:variant>
        <vt:i4>5</vt:i4>
      </vt:variant>
      <vt:variant>
        <vt:lpwstr>http://web1.gp.gov.tw/key/gov/fly_yperfor_new.html</vt:lpwstr>
      </vt:variant>
      <vt:variant>
        <vt:lpwstr/>
      </vt:variant>
      <vt:variant>
        <vt:i4>7471146</vt:i4>
      </vt:variant>
      <vt:variant>
        <vt:i4>0</vt:i4>
      </vt:variant>
      <vt:variant>
        <vt:i4>0</vt:i4>
      </vt:variant>
      <vt:variant>
        <vt:i4>5</vt:i4>
      </vt:variant>
      <vt:variant>
        <vt:lpwstr>http://web1.gp.gov.tw/key/gov/fly_yperfor_new.html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臺北市政府工務局</dc:creator>
  <cp:lastModifiedBy>USER</cp:lastModifiedBy>
  <cp:revision>4</cp:revision>
  <cp:lastPrinted>2018-08-15T09:02:00Z</cp:lastPrinted>
  <dcterms:created xsi:type="dcterms:W3CDTF">2019-12-24T03:37:00Z</dcterms:created>
  <dcterms:modified xsi:type="dcterms:W3CDTF">2019-12-25T00:57:00Z</dcterms:modified>
</cp:coreProperties>
</file>