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AD" w:rsidRDefault="00AA59EC" w:rsidP="007772F3">
      <w:pPr>
        <w:spacing w:line="520" w:lineRule="exact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AA59EC">
        <w:rPr>
          <w:rFonts w:ascii="Times New Roman" w:eastAsia="標楷體" w:hAnsi="Times New Roman" w:hint="eastAsia"/>
          <w:b/>
          <w:kern w:val="0"/>
          <w:sz w:val="32"/>
          <w:szCs w:val="32"/>
        </w:rPr>
        <w:t>彰化縣衛生局辦理</w:t>
      </w:r>
      <w:proofErr w:type="gramStart"/>
      <w:r w:rsidRPr="00AA59EC">
        <w:rPr>
          <w:rFonts w:ascii="Times New Roman" w:eastAsia="標楷體" w:hAnsi="Times New Roman" w:hint="eastAsia"/>
          <w:b/>
          <w:kern w:val="0"/>
          <w:sz w:val="32"/>
          <w:szCs w:val="32"/>
        </w:rPr>
        <w:t>衛福大樓—</w:t>
      </w:r>
      <w:proofErr w:type="gramEnd"/>
      <w:r w:rsidRPr="00AA59EC">
        <w:rPr>
          <w:rFonts w:ascii="Times New Roman" w:eastAsia="標楷體" w:hAnsi="Times New Roman" w:hint="eastAsia"/>
          <w:b/>
          <w:kern w:val="0"/>
          <w:sz w:val="32"/>
          <w:szCs w:val="32"/>
        </w:rPr>
        <w:t>服務提供單位公開徵選</w:t>
      </w:r>
    </w:p>
    <w:p w:rsidR="00AA59EC" w:rsidRDefault="00AA59EC" w:rsidP="007772F3">
      <w:pPr>
        <w:spacing w:line="520" w:lineRule="exact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計畫書資料檢查表</w:t>
      </w:r>
    </w:p>
    <w:p w:rsidR="00FB2DCA" w:rsidRPr="00AA59EC" w:rsidRDefault="00AA59EC" w:rsidP="00806B1A">
      <w:pPr>
        <w:spacing w:line="520" w:lineRule="exact"/>
        <w:ind w:left="1560" w:hangingChars="487" w:hanging="1560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AA59EC">
        <w:rPr>
          <w:rFonts w:ascii="標楷體" w:eastAsia="標楷體" w:hAnsi="標楷體" w:hint="eastAsia"/>
          <w:b/>
          <w:sz w:val="32"/>
          <w:szCs w:val="32"/>
        </w:rPr>
        <w:t>案件</w:t>
      </w:r>
      <w:bookmarkStart w:id="0" w:name="_GoBack"/>
      <w:bookmarkEnd w:id="0"/>
      <w:r w:rsidRPr="00AA59EC">
        <w:rPr>
          <w:rFonts w:ascii="標楷體" w:eastAsia="標楷體" w:hAnsi="標楷體" w:hint="eastAsia"/>
          <w:b/>
          <w:sz w:val="32"/>
          <w:szCs w:val="32"/>
        </w:rPr>
        <w:t>名稱：</w:t>
      </w:r>
      <w:r w:rsidR="00806B1A" w:rsidRPr="00806B1A">
        <w:rPr>
          <w:rFonts w:ascii="Times New Roman" w:eastAsia="標楷體" w:hAnsi="Times New Roman" w:hint="eastAsia"/>
          <w:b/>
          <w:kern w:val="0"/>
          <w:sz w:val="32"/>
          <w:szCs w:val="32"/>
          <w:u w:val="single"/>
        </w:rPr>
        <w:t>彰化市向陽長照</w:t>
      </w:r>
      <w:proofErr w:type="gramStart"/>
      <w:r w:rsidR="00806B1A" w:rsidRPr="00806B1A">
        <w:rPr>
          <w:rFonts w:ascii="Times New Roman" w:eastAsia="標楷體" w:hAnsi="Times New Roman" w:hint="eastAsia"/>
          <w:b/>
          <w:kern w:val="0"/>
          <w:sz w:val="32"/>
          <w:szCs w:val="32"/>
          <w:u w:val="single"/>
        </w:rPr>
        <w:t>樂活館混合型</w:t>
      </w:r>
      <w:proofErr w:type="gramEnd"/>
      <w:r w:rsidR="00806B1A" w:rsidRPr="00806B1A">
        <w:rPr>
          <w:rFonts w:ascii="Times New Roman" w:eastAsia="標楷體" w:hAnsi="Times New Roman" w:hint="eastAsia"/>
          <w:b/>
          <w:kern w:val="0"/>
          <w:sz w:val="32"/>
          <w:szCs w:val="32"/>
          <w:u w:val="single"/>
        </w:rPr>
        <w:t>日照中心</w:t>
      </w:r>
      <w:r w:rsidR="00806B1A" w:rsidRPr="00806B1A">
        <w:rPr>
          <w:rFonts w:ascii="Times New Roman" w:eastAsia="標楷體" w:hAnsi="Times New Roman"/>
          <w:b/>
          <w:kern w:val="0"/>
          <w:sz w:val="32"/>
          <w:szCs w:val="32"/>
          <w:u w:val="single"/>
        </w:rPr>
        <w:t>/</w:t>
      </w:r>
      <w:r w:rsidR="00806B1A" w:rsidRPr="00806B1A">
        <w:rPr>
          <w:rFonts w:ascii="Times New Roman" w:eastAsia="標楷體" w:hAnsi="Times New Roman" w:hint="eastAsia"/>
          <w:b/>
          <w:kern w:val="0"/>
          <w:sz w:val="32"/>
          <w:szCs w:val="32"/>
          <w:u w:val="single"/>
        </w:rPr>
        <w:t>彰化市下廍長照樂活館混合型日照中心</w:t>
      </w:r>
    </w:p>
    <w:p w:rsidR="009B7A0F" w:rsidRPr="00AA59EC" w:rsidRDefault="000408E2" w:rsidP="00FB2DCA">
      <w:pPr>
        <w:spacing w:line="520" w:lineRule="exact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AA59EC">
        <w:rPr>
          <w:rFonts w:ascii="Times New Roman" w:eastAsia="標楷體" w:hAnsi="Times New Roman" w:hint="eastAsia"/>
          <w:b/>
          <w:sz w:val="32"/>
          <w:szCs w:val="32"/>
        </w:rPr>
        <w:t>徵選</w:t>
      </w:r>
      <w:r w:rsidR="0078647C" w:rsidRPr="00AA59EC">
        <w:rPr>
          <w:rFonts w:ascii="Times New Roman" w:eastAsia="標楷體" w:hAnsi="Times New Roman" w:hint="eastAsia"/>
          <w:b/>
          <w:sz w:val="32"/>
          <w:szCs w:val="32"/>
        </w:rPr>
        <w:t>單位</w:t>
      </w:r>
      <w:r w:rsidR="0078647C" w:rsidRPr="00AA59EC">
        <w:rPr>
          <w:rFonts w:ascii="Times New Roman" w:eastAsia="標楷體" w:hAnsi="Times New Roman" w:hint="eastAsia"/>
          <w:b/>
          <w:sz w:val="32"/>
          <w:szCs w:val="32"/>
        </w:rPr>
        <w:t>:</w:t>
      </w:r>
      <w:r w:rsidR="004D74A0" w:rsidRPr="00AA59EC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</w:t>
      </w:r>
      <w:r w:rsidR="00727B33" w:rsidRPr="00AA59EC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4394"/>
        <w:gridCol w:w="1417"/>
        <w:gridCol w:w="1241"/>
      </w:tblGrid>
      <w:tr w:rsidR="00727B33" w:rsidRPr="00C3390F" w:rsidTr="00F76880">
        <w:trPr>
          <w:tblHeader/>
        </w:trPr>
        <w:tc>
          <w:tcPr>
            <w:tcW w:w="1526" w:type="dxa"/>
            <w:shd w:val="clear" w:color="auto" w:fill="D9D9D9" w:themeFill="background1" w:themeFillShade="D9"/>
          </w:tcPr>
          <w:p w:rsidR="005C73BD" w:rsidRPr="00C3390F" w:rsidRDefault="005C73B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:rsidR="005C73BD" w:rsidRPr="00C3390F" w:rsidRDefault="005C73B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內容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C73BD" w:rsidRPr="00C3390F" w:rsidRDefault="00917D33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/>
                <w:szCs w:val="24"/>
              </w:rPr>
              <w:t>有無說明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5C73BD" w:rsidRPr="00C3390F" w:rsidRDefault="005C73B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對應頁碼</w:t>
            </w:r>
          </w:p>
        </w:tc>
      </w:tr>
      <w:tr w:rsidR="00AA59EC" w:rsidRPr="00C3390F" w:rsidTr="00AA59EC">
        <w:trPr>
          <w:trHeight w:val="372"/>
        </w:trPr>
        <w:tc>
          <w:tcPr>
            <w:tcW w:w="1526" w:type="dxa"/>
            <w:vMerge w:val="restart"/>
            <w:vAlign w:val="center"/>
          </w:tcPr>
          <w:p w:rsidR="00AA59EC" w:rsidRPr="00C3390F" w:rsidRDefault="00AA59EC" w:rsidP="00F5328B">
            <w:pPr>
              <w:pStyle w:val="a8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組織健全性</w:t>
            </w:r>
          </w:p>
        </w:tc>
        <w:tc>
          <w:tcPr>
            <w:tcW w:w="6804" w:type="dxa"/>
            <w:gridSpan w:val="2"/>
            <w:vAlign w:val="center"/>
          </w:tcPr>
          <w:p w:rsidR="00AA59EC" w:rsidRPr="00C3390F" w:rsidRDefault="00AA59EC" w:rsidP="00AA59E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組織架構及服務項目簡介。</w:t>
            </w:r>
          </w:p>
        </w:tc>
        <w:tc>
          <w:tcPr>
            <w:tcW w:w="1417" w:type="dxa"/>
            <w:vAlign w:val="center"/>
          </w:tcPr>
          <w:p w:rsidR="00AA59EC" w:rsidRPr="00C3390F" w:rsidRDefault="00AA59EC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AA59EC" w:rsidRPr="00C3390F" w:rsidRDefault="00AA59EC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A59EC" w:rsidRPr="00C3390F" w:rsidTr="00AA59EC">
        <w:trPr>
          <w:trHeight w:val="372"/>
        </w:trPr>
        <w:tc>
          <w:tcPr>
            <w:tcW w:w="1526" w:type="dxa"/>
            <w:vMerge/>
            <w:vAlign w:val="center"/>
          </w:tcPr>
          <w:p w:rsidR="00AA59EC" w:rsidRPr="00C3390F" w:rsidRDefault="00AA59EC" w:rsidP="00F5328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AA59EC" w:rsidRPr="00C3390F" w:rsidRDefault="00AA59EC" w:rsidP="00AA59E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組織在地經營理念及規劃。</w:t>
            </w:r>
          </w:p>
        </w:tc>
        <w:tc>
          <w:tcPr>
            <w:tcW w:w="1417" w:type="dxa"/>
            <w:vAlign w:val="center"/>
          </w:tcPr>
          <w:p w:rsidR="00AA59EC" w:rsidRPr="00C3390F" w:rsidRDefault="00AA59EC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AA59EC" w:rsidRPr="00C3390F" w:rsidRDefault="00AA59EC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A59EC" w:rsidRPr="00C3390F" w:rsidTr="00AA59EC">
        <w:trPr>
          <w:trHeight w:val="304"/>
        </w:trPr>
        <w:tc>
          <w:tcPr>
            <w:tcW w:w="1526" w:type="dxa"/>
            <w:vMerge w:val="restart"/>
            <w:vAlign w:val="center"/>
          </w:tcPr>
          <w:p w:rsidR="00AA59EC" w:rsidRPr="00C3390F" w:rsidRDefault="00AA59EC" w:rsidP="00F5328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財務健全性</w:t>
            </w:r>
          </w:p>
        </w:tc>
        <w:tc>
          <w:tcPr>
            <w:tcW w:w="2410" w:type="dxa"/>
            <w:vMerge w:val="restart"/>
            <w:vAlign w:val="center"/>
          </w:tcPr>
          <w:p w:rsidR="00AA59EC" w:rsidRPr="00C3390F" w:rsidRDefault="00AA59EC" w:rsidP="00AA59EC">
            <w:pPr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財務狀況</w:t>
            </w:r>
          </w:p>
        </w:tc>
        <w:tc>
          <w:tcPr>
            <w:tcW w:w="4394" w:type="dxa"/>
            <w:vAlign w:val="center"/>
          </w:tcPr>
          <w:p w:rsidR="00AA59EC" w:rsidRPr="00C3390F" w:rsidRDefault="00AA59EC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最近二年之預、決算表、資產負債表(損益表)。</w:t>
            </w:r>
          </w:p>
        </w:tc>
        <w:tc>
          <w:tcPr>
            <w:tcW w:w="1417" w:type="dxa"/>
            <w:vAlign w:val="center"/>
          </w:tcPr>
          <w:p w:rsidR="00AA59EC" w:rsidRPr="00C3390F" w:rsidRDefault="00AA59EC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AA59EC" w:rsidRPr="00C3390F" w:rsidRDefault="00AA59EC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A59EC" w:rsidRPr="00C3390F" w:rsidTr="00AA59EC">
        <w:trPr>
          <w:trHeight w:val="378"/>
        </w:trPr>
        <w:tc>
          <w:tcPr>
            <w:tcW w:w="1526" w:type="dxa"/>
            <w:vMerge/>
            <w:vAlign w:val="center"/>
          </w:tcPr>
          <w:p w:rsidR="00AA59EC" w:rsidRPr="00C3390F" w:rsidRDefault="00AA59EC" w:rsidP="00AA59E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A59EC" w:rsidRPr="00C3390F" w:rsidRDefault="00AA59EC" w:rsidP="003F4B12">
            <w:pPr>
              <w:pStyle w:val="a8"/>
              <w:numPr>
                <w:ilvl w:val="0"/>
                <w:numId w:val="4"/>
              </w:numPr>
              <w:ind w:left="96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A59EC" w:rsidRPr="00C3390F" w:rsidRDefault="00AA59EC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現金流量表、自籌款證明</w:t>
            </w:r>
            <w:r w:rsidRPr="00C3390F">
              <w:rPr>
                <w:rFonts w:ascii="標楷體" w:eastAsia="標楷體" w:hAnsi="標楷體"/>
                <w:szCs w:val="24"/>
              </w:rPr>
              <w:t>、</w:t>
            </w:r>
            <w:r w:rsidRPr="00C3390F">
              <w:rPr>
                <w:rFonts w:ascii="標楷體" w:eastAsia="標楷體" w:hAnsi="標楷體" w:hint="eastAsia"/>
                <w:szCs w:val="24"/>
              </w:rPr>
              <w:t>財產管理。</w:t>
            </w:r>
          </w:p>
        </w:tc>
        <w:tc>
          <w:tcPr>
            <w:tcW w:w="1417" w:type="dxa"/>
            <w:vAlign w:val="center"/>
          </w:tcPr>
          <w:p w:rsidR="00AA59EC" w:rsidRPr="00C3390F" w:rsidRDefault="00AA59EC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AA59EC" w:rsidRPr="00C3390F" w:rsidRDefault="00AA59EC" w:rsidP="005449F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A59EC" w:rsidRPr="00C3390F" w:rsidTr="00AA59EC">
        <w:trPr>
          <w:trHeight w:val="433"/>
        </w:trPr>
        <w:tc>
          <w:tcPr>
            <w:tcW w:w="1526" w:type="dxa"/>
            <w:vMerge/>
            <w:vAlign w:val="center"/>
          </w:tcPr>
          <w:p w:rsidR="00AA59EC" w:rsidRPr="00C3390F" w:rsidRDefault="00AA59EC" w:rsidP="00AA59E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A59EC" w:rsidRPr="00C3390F" w:rsidRDefault="00AA59EC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經費來源</w:t>
            </w:r>
          </w:p>
          <w:p w:rsidR="00AA59EC" w:rsidRPr="00C3390F" w:rsidRDefault="00AA59EC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籌措方式與能力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394" w:type="dxa"/>
            <w:vAlign w:val="center"/>
          </w:tcPr>
          <w:p w:rsidR="00AA59EC" w:rsidRPr="00C3390F" w:rsidRDefault="00AA59EC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經費來源正當性與穩定性</w:t>
            </w:r>
          </w:p>
        </w:tc>
        <w:tc>
          <w:tcPr>
            <w:tcW w:w="1417" w:type="dxa"/>
            <w:vAlign w:val="center"/>
          </w:tcPr>
          <w:p w:rsidR="00AA59EC" w:rsidRPr="00C3390F" w:rsidRDefault="00AA59EC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AA59EC" w:rsidRPr="00C3390F" w:rsidRDefault="00AA59EC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A59EC" w:rsidRPr="00C3390F" w:rsidTr="00AA59EC">
        <w:trPr>
          <w:trHeight w:val="431"/>
        </w:trPr>
        <w:tc>
          <w:tcPr>
            <w:tcW w:w="1526" w:type="dxa"/>
            <w:vMerge/>
            <w:vAlign w:val="center"/>
          </w:tcPr>
          <w:p w:rsidR="00AA59EC" w:rsidRPr="00C3390F" w:rsidRDefault="00AA59EC" w:rsidP="00AA59E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A59EC" w:rsidRPr="00C3390F" w:rsidRDefault="00AA59EC" w:rsidP="003F4B12">
            <w:pPr>
              <w:pStyle w:val="a8"/>
              <w:numPr>
                <w:ilvl w:val="0"/>
                <w:numId w:val="4"/>
              </w:numPr>
              <w:ind w:left="96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A59EC" w:rsidRPr="00C3390F" w:rsidRDefault="00AA59EC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捐款及徵信狀況、會計查核情形。</w:t>
            </w:r>
          </w:p>
        </w:tc>
        <w:tc>
          <w:tcPr>
            <w:tcW w:w="1417" w:type="dxa"/>
            <w:vAlign w:val="center"/>
          </w:tcPr>
          <w:p w:rsidR="00AA59EC" w:rsidRPr="00C3390F" w:rsidRDefault="00AA59EC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AA59EC" w:rsidRPr="00C3390F" w:rsidRDefault="00AA59EC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A59EC" w:rsidRPr="00C3390F" w:rsidTr="00AA59EC">
        <w:trPr>
          <w:trHeight w:val="325"/>
        </w:trPr>
        <w:tc>
          <w:tcPr>
            <w:tcW w:w="1526" w:type="dxa"/>
            <w:vMerge/>
            <w:vAlign w:val="center"/>
          </w:tcPr>
          <w:p w:rsidR="00AA59EC" w:rsidRPr="00C3390F" w:rsidRDefault="00AA59EC" w:rsidP="00AA59E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AA59EC" w:rsidRPr="00C3390F" w:rsidRDefault="00AA59EC" w:rsidP="00AA59E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(3)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本計畫之預算編列設施設備經費概算表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C3390F">
              <w:rPr>
                <w:rFonts w:ascii="Times New Roman" w:eastAsia="標楷體" w:hAnsi="Times New Roman" w:hint="eastAsia"/>
                <w:szCs w:val="24"/>
              </w:rPr>
              <w:t>請列申請</w:t>
            </w:r>
            <w:proofErr w:type="gramEnd"/>
            <w:r w:rsidRPr="00C3390F">
              <w:rPr>
                <w:rFonts w:ascii="Times New Roman" w:eastAsia="標楷體" w:hAnsi="Times New Roman" w:hint="eastAsia"/>
                <w:szCs w:val="24"/>
              </w:rPr>
              <w:t>獎助及自籌的項目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AA59EC" w:rsidRPr="00C3390F" w:rsidRDefault="00AA59EC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AA59EC" w:rsidRPr="00C3390F" w:rsidRDefault="00AA59EC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D7EAD" w:rsidRPr="00C3390F" w:rsidTr="00CD7EAD">
        <w:trPr>
          <w:cantSplit/>
          <w:trHeight w:val="1134"/>
        </w:trPr>
        <w:tc>
          <w:tcPr>
            <w:tcW w:w="1526" w:type="dxa"/>
            <w:vMerge w:val="restart"/>
            <w:vAlign w:val="center"/>
          </w:tcPr>
          <w:p w:rsidR="00CD7EAD" w:rsidRPr="00C3390F" w:rsidRDefault="00CD7EAD" w:rsidP="00CD7E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過往實績</w:t>
            </w:r>
          </w:p>
        </w:tc>
        <w:tc>
          <w:tcPr>
            <w:tcW w:w="6804" w:type="dxa"/>
            <w:gridSpan w:val="2"/>
            <w:vAlign w:val="center"/>
          </w:tcPr>
          <w:p w:rsidR="00CD7EAD" w:rsidRPr="00C3390F" w:rsidRDefault="00CD7EAD" w:rsidP="00F5328B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營造復能環境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，規劃日常生活所須輔具及環境改造措施，以協助失能/失智者獨立生活：</w:t>
            </w:r>
          </w:p>
          <w:p w:rsidR="00CD7EAD" w:rsidRPr="00C3390F" w:rsidRDefault="00CD7EAD" w:rsidP="00F5328B">
            <w:pPr>
              <w:pStyle w:val="a8"/>
              <w:numPr>
                <w:ilvl w:val="1"/>
                <w:numId w:val="17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行動輔具：四腳拐、助行器、輪椅等。</w:t>
            </w:r>
          </w:p>
          <w:p w:rsidR="00CD7EAD" w:rsidRPr="00C3390F" w:rsidRDefault="00CD7EAD" w:rsidP="00F5328B">
            <w:pPr>
              <w:pStyle w:val="a8"/>
              <w:numPr>
                <w:ilvl w:val="1"/>
                <w:numId w:val="17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環境輔具：</w:t>
            </w:r>
          </w:p>
          <w:p w:rsidR="00CD7EAD" w:rsidRPr="00C3390F" w:rsidRDefault="00CD7EAD" w:rsidP="00F5328B">
            <w:pPr>
              <w:pStyle w:val="a8"/>
              <w:numPr>
                <w:ilvl w:val="2"/>
                <w:numId w:val="17"/>
              </w:numPr>
              <w:ind w:leftChars="0" w:left="1309" w:hanging="567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用餐區域之桌椅：桌椅高度符合失能者需求，例如座椅可調整高度、不易滑動、座椅扶手協助起身、桌子可容納乘坐輪椅失能者使用。</w:t>
            </w:r>
          </w:p>
          <w:p w:rsidR="00CD7EAD" w:rsidRPr="00C3390F" w:rsidRDefault="00CD7EAD" w:rsidP="00F5328B">
            <w:pPr>
              <w:pStyle w:val="a8"/>
              <w:numPr>
                <w:ilvl w:val="2"/>
                <w:numId w:val="17"/>
              </w:numPr>
              <w:ind w:leftChars="0" w:left="1309" w:hanging="567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浴廁設備：沐浴椅或便盆椅、地板防滑措施、扶手(浴室、馬桶、小便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斗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及洗手台)等。</w:t>
            </w:r>
          </w:p>
          <w:p w:rsidR="00CD7EAD" w:rsidRPr="00C3390F" w:rsidRDefault="00CD7EAD" w:rsidP="00F5328B">
            <w:pPr>
              <w:pStyle w:val="a8"/>
              <w:numPr>
                <w:ilvl w:val="1"/>
                <w:numId w:val="17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個人照顧及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餐食輔具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：鈕扣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勾出器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/拉鍊幫手、洗髮輔助刷、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洗背刷、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洗腳刷、如廁擦拭輔助器、擠牙膏器、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握筷輔助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器、可彎曲湯匙(叉子)、弧形盤、斜口杯、雙把手杯、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防滑墊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、防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滑碗座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、單向吸管、安全矽膠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圍兜等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CD7EAD" w:rsidRPr="00C3390F" w:rsidRDefault="00CD7EA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CD7EAD" w:rsidRPr="00C3390F" w:rsidRDefault="00CD7EA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D7EAD" w:rsidRPr="00C3390F" w:rsidTr="00C61878">
        <w:trPr>
          <w:cantSplit/>
          <w:trHeight w:val="1134"/>
        </w:trPr>
        <w:tc>
          <w:tcPr>
            <w:tcW w:w="1526" w:type="dxa"/>
            <w:vMerge/>
            <w:textDirection w:val="tbRlV"/>
            <w:vAlign w:val="center"/>
          </w:tcPr>
          <w:p w:rsidR="00CD7EAD" w:rsidRPr="00C3390F" w:rsidRDefault="00CD7EAD" w:rsidP="00F5328B">
            <w:pPr>
              <w:ind w:left="113" w:right="113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CD7EAD" w:rsidRPr="00C3390F" w:rsidRDefault="00CD7EAD" w:rsidP="00F5328B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復能計畫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規劃及執行能力：</w:t>
            </w:r>
          </w:p>
          <w:p w:rsidR="00CD7EAD" w:rsidRPr="00C3390F" w:rsidRDefault="00CD7EAD" w:rsidP="00F5328B">
            <w:pPr>
              <w:pStyle w:val="a8"/>
              <w:numPr>
                <w:ilvl w:val="1"/>
                <w:numId w:val="17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人員資格：特約至少1位職能或物理治療人員，且已完成衛生局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日照復能工作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坊訓練並具長照實務經驗。</w:t>
            </w:r>
          </w:p>
          <w:p w:rsidR="00CD7EAD" w:rsidRPr="00C3390F" w:rsidRDefault="00CD7EAD" w:rsidP="00F5328B">
            <w:pPr>
              <w:pStyle w:val="a8"/>
              <w:numPr>
                <w:ilvl w:val="1"/>
                <w:numId w:val="17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治療人員評估能力：治療人員可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運用復能目標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達成評估表(Goal Attainment Scale, GAS)評估個案及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設定復能目標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7EAD" w:rsidRPr="00C3390F" w:rsidRDefault="00CD7EAD" w:rsidP="00F5328B">
            <w:pPr>
              <w:pStyle w:val="a8"/>
              <w:numPr>
                <w:ilvl w:val="1"/>
                <w:numId w:val="17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復能活動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設計能力：治療人員有能力設計每日團體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基礎復能活動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，另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針對復能潛能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個案規劃個別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化復能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訓練。</w:t>
            </w:r>
          </w:p>
          <w:p w:rsidR="00CD7EAD" w:rsidRPr="00C3390F" w:rsidRDefault="00CD7EAD" w:rsidP="00F5328B">
            <w:pPr>
              <w:pStyle w:val="a8"/>
              <w:numPr>
                <w:ilvl w:val="1"/>
                <w:numId w:val="17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指導照服員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能力：治療人員具備與照顧服務員實際執行長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照復能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實務經驗。</w:t>
            </w:r>
          </w:p>
        </w:tc>
        <w:tc>
          <w:tcPr>
            <w:tcW w:w="1417" w:type="dxa"/>
            <w:vAlign w:val="center"/>
          </w:tcPr>
          <w:p w:rsidR="00CD7EAD" w:rsidRPr="00C3390F" w:rsidRDefault="00CD7EA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CD7EAD" w:rsidRPr="00C3390F" w:rsidRDefault="00CD7EA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D7EAD" w:rsidRPr="00C3390F" w:rsidTr="00C61878">
        <w:trPr>
          <w:cantSplit/>
          <w:trHeight w:val="1134"/>
        </w:trPr>
        <w:tc>
          <w:tcPr>
            <w:tcW w:w="1526" w:type="dxa"/>
            <w:vMerge/>
            <w:textDirection w:val="tbRlV"/>
            <w:vAlign w:val="center"/>
          </w:tcPr>
          <w:p w:rsidR="00CD7EAD" w:rsidRPr="00C3390F" w:rsidRDefault="00CD7EAD" w:rsidP="00F5328B">
            <w:pPr>
              <w:ind w:left="113" w:right="113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CD7EAD" w:rsidRPr="00C3390F" w:rsidRDefault="00CD7EAD" w:rsidP="00F5328B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最近3年實務經驗與在地服務績效：</w:t>
            </w:r>
          </w:p>
          <w:p w:rsidR="00CD7EAD" w:rsidRPr="00C3390F" w:rsidRDefault="00CD7EAD" w:rsidP="00F5328B">
            <w:pPr>
              <w:pStyle w:val="a8"/>
              <w:numPr>
                <w:ilvl w:val="1"/>
                <w:numId w:val="17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現有家數(公有場地、私有場地)、各日照核准收案人數/目前服務人數，取得設立滿1年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收托率應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達80%。</w:t>
            </w:r>
          </w:p>
          <w:p w:rsidR="00CD7EAD" w:rsidRPr="00C3390F" w:rsidRDefault="00CD7EAD" w:rsidP="00F5328B">
            <w:pPr>
              <w:pStyle w:val="a8"/>
              <w:numPr>
                <w:ilvl w:val="1"/>
                <w:numId w:val="17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服務內容提供：</w:t>
            </w:r>
          </w:p>
          <w:p w:rsidR="00CD7EAD" w:rsidRPr="00C3390F" w:rsidRDefault="00CD7EAD" w:rsidP="00F5328B">
            <w:pPr>
              <w:pStyle w:val="a8"/>
              <w:numPr>
                <w:ilvl w:val="2"/>
                <w:numId w:val="18"/>
              </w:numPr>
              <w:ind w:leftChars="0" w:left="884" w:hanging="283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社區式協助沐浴、社區式晚餐各項服務使用率需大於30%。(使用人數/核定人數*100%)</w:t>
            </w:r>
          </w:p>
          <w:p w:rsidR="00CD7EAD" w:rsidRPr="00C3390F" w:rsidRDefault="00CD7EAD" w:rsidP="00F5328B">
            <w:pPr>
              <w:pStyle w:val="a8"/>
              <w:numPr>
                <w:ilvl w:val="2"/>
                <w:numId w:val="18"/>
              </w:numPr>
              <w:ind w:leftChars="0" w:left="884" w:hanging="283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針對具慢性病之個案做個別化管理(健康監測、營養餐飲及藥事等)，並召集各專業人員藉由跨專業討論會方式訂定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個別化照護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計畫實案分享。</w:t>
            </w:r>
          </w:p>
        </w:tc>
        <w:tc>
          <w:tcPr>
            <w:tcW w:w="1417" w:type="dxa"/>
            <w:vAlign w:val="center"/>
          </w:tcPr>
          <w:p w:rsidR="00CD7EAD" w:rsidRPr="00C3390F" w:rsidRDefault="00CD7EA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CD7EAD" w:rsidRPr="00C3390F" w:rsidRDefault="00CD7EA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D7EAD" w:rsidRPr="00C3390F" w:rsidTr="00C61878">
        <w:trPr>
          <w:cantSplit/>
          <w:trHeight w:val="1134"/>
        </w:trPr>
        <w:tc>
          <w:tcPr>
            <w:tcW w:w="1526" w:type="dxa"/>
            <w:vMerge/>
            <w:textDirection w:val="tbRlV"/>
            <w:vAlign w:val="center"/>
          </w:tcPr>
          <w:p w:rsidR="00CD7EAD" w:rsidRPr="00C3390F" w:rsidRDefault="00CD7EAD" w:rsidP="00F5328B">
            <w:pPr>
              <w:ind w:left="113" w:right="113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CD7EAD" w:rsidRPr="00C3390F" w:rsidRDefault="00CD7EAD" w:rsidP="00F5328B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空間使用計畫：</w:t>
            </w:r>
          </w:p>
          <w:p w:rsidR="00CD7EAD" w:rsidRPr="00C3390F" w:rsidRDefault="00CD7EAD" w:rsidP="00F5328B">
            <w:pPr>
              <w:pStyle w:val="a8"/>
              <w:numPr>
                <w:ilvl w:val="1"/>
                <w:numId w:val="17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具空間規劃能力：依法規規劃單元照顧模式，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劃分復能區域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(平均0.5坪/人)、日常活動區(平均4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/人)、廚房、休憩區等。</w:t>
            </w:r>
          </w:p>
          <w:p w:rsidR="00CD7EAD" w:rsidRPr="00C3390F" w:rsidRDefault="00CD7EAD" w:rsidP="00F5328B">
            <w:pPr>
              <w:pStyle w:val="a8"/>
              <w:numPr>
                <w:ilvl w:val="1"/>
                <w:numId w:val="17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營造友善失智者環境能力：減少容易導致跌倒受傷的環境(如光滑或反光地板、易滑動小地毯、家具銳角)、牆壁和地面避免眼花撩亂的圖樣、減少令人不安噪音干擾等。</w:t>
            </w:r>
          </w:p>
        </w:tc>
        <w:tc>
          <w:tcPr>
            <w:tcW w:w="1417" w:type="dxa"/>
            <w:vAlign w:val="center"/>
          </w:tcPr>
          <w:p w:rsidR="00CD7EAD" w:rsidRPr="00C3390F" w:rsidRDefault="00CD7EA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CD7EAD" w:rsidRPr="00C3390F" w:rsidRDefault="00CD7EA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D7EAD" w:rsidRPr="00C3390F" w:rsidTr="00C61878">
        <w:trPr>
          <w:cantSplit/>
          <w:trHeight w:val="1134"/>
        </w:trPr>
        <w:tc>
          <w:tcPr>
            <w:tcW w:w="1526" w:type="dxa"/>
            <w:vMerge/>
            <w:textDirection w:val="tbRlV"/>
            <w:vAlign w:val="center"/>
          </w:tcPr>
          <w:p w:rsidR="00CD7EAD" w:rsidRPr="00C3390F" w:rsidRDefault="00CD7EAD" w:rsidP="00F5328B">
            <w:pPr>
              <w:ind w:left="113" w:right="113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CD7EAD" w:rsidRPr="00C3390F" w:rsidRDefault="00CD7EAD" w:rsidP="00F5328B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創新照顧服務方案分享：</w:t>
            </w:r>
          </w:p>
          <w:p w:rsidR="00CD7EAD" w:rsidRPr="00C3390F" w:rsidRDefault="00CD7EAD" w:rsidP="00F5328B">
            <w:pPr>
              <w:pStyle w:val="a8"/>
              <w:numPr>
                <w:ilvl w:val="1"/>
                <w:numId w:val="17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跳脫傳統照顧模式，依個案照顧需求連結所需專業人員，發展出有別於其他日照的新照顧經驗。</w:t>
            </w:r>
          </w:p>
        </w:tc>
        <w:tc>
          <w:tcPr>
            <w:tcW w:w="1417" w:type="dxa"/>
            <w:vAlign w:val="center"/>
          </w:tcPr>
          <w:p w:rsidR="00CD7EAD" w:rsidRPr="00C3390F" w:rsidRDefault="00CD7EA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CD7EAD" w:rsidRPr="00C3390F" w:rsidRDefault="00CD7EA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D7EAD" w:rsidRPr="00C3390F" w:rsidTr="00CD7EAD">
        <w:trPr>
          <w:cantSplit/>
          <w:trHeight w:val="1134"/>
        </w:trPr>
        <w:tc>
          <w:tcPr>
            <w:tcW w:w="1526" w:type="dxa"/>
            <w:vMerge w:val="restart"/>
            <w:vAlign w:val="center"/>
          </w:tcPr>
          <w:p w:rsidR="00CD7EAD" w:rsidRPr="00C3390F" w:rsidRDefault="00CD7EAD" w:rsidP="00CD7EA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本案規劃</w:t>
            </w:r>
          </w:p>
        </w:tc>
        <w:tc>
          <w:tcPr>
            <w:tcW w:w="6804" w:type="dxa"/>
            <w:gridSpan w:val="2"/>
            <w:vAlign w:val="center"/>
          </w:tcPr>
          <w:p w:rsidR="00CD7EAD" w:rsidRPr="00C3390F" w:rsidRDefault="00CD7EAD" w:rsidP="00C3390F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營造復能環境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，規劃日常生活所須輔具及環境改造措施，以協助失能/失智者獨立生活：</w:t>
            </w:r>
          </w:p>
          <w:p w:rsidR="00CD7EAD" w:rsidRPr="00C3390F" w:rsidRDefault="00CD7EAD" w:rsidP="00C3390F">
            <w:pPr>
              <w:pStyle w:val="a8"/>
              <w:numPr>
                <w:ilvl w:val="1"/>
                <w:numId w:val="19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行動輔具：四腳拐、助行器、輪椅等。</w:t>
            </w:r>
          </w:p>
          <w:p w:rsidR="00CD7EAD" w:rsidRPr="00C3390F" w:rsidRDefault="00CD7EAD" w:rsidP="00C3390F">
            <w:pPr>
              <w:pStyle w:val="a8"/>
              <w:numPr>
                <w:ilvl w:val="1"/>
                <w:numId w:val="19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環境輔具：</w:t>
            </w:r>
          </w:p>
          <w:p w:rsidR="00CD7EAD" w:rsidRPr="00C3390F" w:rsidRDefault="00CD7EAD" w:rsidP="00C3390F">
            <w:pPr>
              <w:pStyle w:val="a8"/>
              <w:numPr>
                <w:ilvl w:val="2"/>
                <w:numId w:val="17"/>
              </w:numPr>
              <w:ind w:leftChars="0" w:left="1309" w:hanging="567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用餐區域之桌椅：桌椅高度符合失能者需求，例如座椅可調整高度、不易滑動、座椅扶手協助起身、桌子可容納乘坐輪椅失能者使用。</w:t>
            </w:r>
          </w:p>
          <w:p w:rsidR="00CD7EAD" w:rsidRPr="00C3390F" w:rsidRDefault="00CD7EAD" w:rsidP="00C3390F">
            <w:pPr>
              <w:pStyle w:val="a8"/>
              <w:numPr>
                <w:ilvl w:val="2"/>
                <w:numId w:val="17"/>
              </w:numPr>
              <w:ind w:leftChars="0" w:left="1309" w:hanging="567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浴廁設備：沐浴椅或便盆椅、地板防滑措施、扶手(浴室、馬桶、小便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斗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及洗手台)等。</w:t>
            </w:r>
          </w:p>
          <w:p w:rsidR="00CD7EAD" w:rsidRPr="00C3390F" w:rsidRDefault="00CD7EAD" w:rsidP="00C3390F">
            <w:pPr>
              <w:pStyle w:val="a8"/>
              <w:numPr>
                <w:ilvl w:val="1"/>
                <w:numId w:val="19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個人照顧及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餐食輔具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：鈕扣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勾出器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/拉鍊幫手、洗髮輔助刷、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洗背刷、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洗腳刷、如廁擦拭輔助器、擠牙膏器、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握筷輔助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器、可彎曲湯匙(叉子)、弧形盤、斜口杯、雙把手杯、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防滑墊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、防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滑碗座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、單向吸管、安全矽膠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圍兜等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CD7EAD" w:rsidRPr="00C3390F" w:rsidRDefault="00CD7EA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CD7EAD" w:rsidRPr="00C3390F" w:rsidRDefault="00CD7EA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D7EAD" w:rsidRPr="00C3390F" w:rsidTr="00114B9B">
        <w:trPr>
          <w:cantSplit/>
          <w:trHeight w:val="1134"/>
        </w:trPr>
        <w:tc>
          <w:tcPr>
            <w:tcW w:w="1526" w:type="dxa"/>
            <w:vMerge/>
            <w:textDirection w:val="tbRlV"/>
            <w:vAlign w:val="center"/>
          </w:tcPr>
          <w:p w:rsidR="00CD7EAD" w:rsidRPr="00C3390F" w:rsidRDefault="00CD7EAD" w:rsidP="00F5328B">
            <w:pPr>
              <w:ind w:left="113" w:right="113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CD7EAD" w:rsidRPr="00C3390F" w:rsidRDefault="00CD7EAD" w:rsidP="00C3390F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復能計畫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規劃及執行能力：</w:t>
            </w:r>
          </w:p>
          <w:p w:rsidR="00CD7EAD" w:rsidRPr="00C3390F" w:rsidRDefault="00CD7EAD" w:rsidP="00C3390F">
            <w:pPr>
              <w:pStyle w:val="a8"/>
              <w:numPr>
                <w:ilvl w:val="1"/>
                <w:numId w:val="19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人員資格：特約至少1位職能或物理治療人員，且已完成衛生局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日照復能工作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坊訓練並具長照實務經驗。</w:t>
            </w:r>
          </w:p>
          <w:p w:rsidR="00CD7EAD" w:rsidRPr="00C3390F" w:rsidRDefault="00CD7EAD" w:rsidP="00C3390F">
            <w:pPr>
              <w:pStyle w:val="a8"/>
              <w:numPr>
                <w:ilvl w:val="1"/>
                <w:numId w:val="19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治療人員評估能力：治療人員可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運用復能目標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達成評估表(Goal Attainment Scale, GAS)評估個案及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設定復能目標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7EAD" w:rsidRPr="00C3390F" w:rsidRDefault="00CD7EAD" w:rsidP="00C3390F">
            <w:pPr>
              <w:pStyle w:val="a8"/>
              <w:numPr>
                <w:ilvl w:val="1"/>
                <w:numId w:val="19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復能活動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設計能力：治療人員有能力設計每日團體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基礎復能活動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，另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針對復能潛能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個案規劃個別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化復能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訓練。</w:t>
            </w:r>
          </w:p>
          <w:p w:rsidR="00CD7EAD" w:rsidRPr="00C3390F" w:rsidRDefault="00CD7EAD" w:rsidP="00C3390F">
            <w:pPr>
              <w:pStyle w:val="a8"/>
              <w:numPr>
                <w:ilvl w:val="1"/>
                <w:numId w:val="19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指導照服員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能力：治療人員具備與照顧服務員實際執行長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照復能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實務經驗。</w:t>
            </w:r>
          </w:p>
        </w:tc>
        <w:tc>
          <w:tcPr>
            <w:tcW w:w="1417" w:type="dxa"/>
            <w:vAlign w:val="center"/>
          </w:tcPr>
          <w:p w:rsidR="00CD7EAD" w:rsidRPr="00C3390F" w:rsidRDefault="00CD7EA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CD7EAD" w:rsidRPr="00C3390F" w:rsidRDefault="00CD7EA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D7EAD" w:rsidRPr="00C3390F" w:rsidTr="00114B9B">
        <w:trPr>
          <w:cantSplit/>
          <w:trHeight w:val="1134"/>
        </w:trPr>
        <w:tc>
          <w:tcPr>
            <w:tcW w:w="1526" w:type="dxa"/>
            <w:vMerge/>
            <w:textDirection w:val="tbRlV"/>
            <w:vAlign w:val="center"/>
          </w:tcPr>
          <w:p w:rsidR="00CD7EAD" w:rsidRPr="00C3390F" w:rsidRDefault="00CD7EAD" w:rsidP="00F5328B">
            <w:pPr>
              <w:ind w:left="113" w:right="113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CD7EAD" w:rsidRPr="00C3390F" w:rsidRDefault="00CD7EAD" w:rsidP="00C3390F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服務提供包含社區式協助沐浴、社區式晚餐及針對具慢性病之個案做個別化管理(健康監測、營養餐飲及藥事等)，並召集各專業人員藉由跨專業討論會方式訂定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個別化照護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計畫。</w:t>
            </w:r>
          </w:p>
        </w:tc>
        <w:tc>
          <w:tcPr>
            <w:tcW w:w="1417" w:type="dxa"/>
            <w:vAlign w:val="center"/>
          </w:tcPr>
          <w:p w:rsidR="00CD7EAD" w:rsidRPr="00C3390F" w:rsidRDefault="00CD7EAD" w:rsidP="00141C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CD7EAD" w:rsidRPr="00C3390F" w:rsidRDefault="00CD7EA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D7EAD" w:rsidRPr="00C3390F" w:rsidTr="00114B9B">
        <w:trPr>
          <w:cantSplit/>
          <w:trHeight w:val="1134"/>
        </w:trPr>
        <w:tc>
          <w:tcPr>
            <w:tcW w:w="1526" w:type="dxa"/>
            <w:vMerge/>
            <w:textDirection w:val="tbRlV"/>
            <w:vAlign w:val="center"/>
          </w:tcPr>
          <w:p w:rsidR="00CD7EAD" w:rsidRPr="00C3390F" w:rsidRDefault="00CD7EAD" w:rsidP="00F5328B">
            <w:pPr>
              <w:ind w:left="113" w:right="113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CD7EAD" w:rsidRPr="00C3390F" w:rsidRDefault="00CD7EAD" w:rsidP="00C3390F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空間使用計畫：</w:t>
            </w:r>
          </w:p>
          <w:p w:rsidR="00CD7EAD" w:rsidRPr="00C3390F" w:rsidRDefault="00CD7EAD" w:rsidP="00C3390F">
            <w:pPr>
              <w:pStyle w:val="a8"/>
              <w:numPr>
                <w:ilvl w:val="1"/>
                <w:numId w:val="19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具空間規劃能力：依法規規劃單元照顧模式，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劃分復能區域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(平均0.5坪/人)、日常活動區(平均4</w:t>
            </w:r>
            <w:proofErr w:type="gramStart"/>
            <w:r w:rsidRPr="00C3390F"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  <w:r w:rsidRPr="00C3390F">
              <w:rPr>
                <w:rFonts w:ascii="標楷體" w:eastAsia="標楷體" w:hAnsi="標楷體" w:hint="eastAsia"/>
                <w:szCs w:val="24"/>
              </w:rPr>
              <w:t>/人)、廚房、休憩區等。</w:t>
            </w:r>
          </w:p>
          <w:p w:rsidR="00CD7EAD" w:rsidRPr="00C3390F" w:rsidRDefault="00CD7EAD" w:rsidP="00C3390F">
            <w:pPr>
              <w:pStyle w:val="a8"/>
              <w:numPr>
                <w:ilvl w:val="1"/>
                <w:numId w:val="19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3390F">
              <w:rPr>
                <w:rFonts w:ascii="標楷體" w:eastAsia="標楷體" w:hAnsi="標楷體" w:hint="eastAsia"/>
                <w:szCs w:val="24"/>
              </w:rPr>
              <w:t>營造友善失智者環境能力：減少容易導致跌倒受傷的環境(如光滑或反光地板、易滑動小地毯、家具銳角)、牆壁和地面避免眼花撩亂的圖樣、減少令人不安噪音干擾等。</w:t>
            </w:r>
          </w:p>
        </w:tc>
        <w:tc>
          <w:tcPr>
            <w:tcW w:w="1417" w:type="dxa"/>
            <w:vAlign w:val="center"/>
          </w:tcPr>
          <w:p w:rsidR="00CD7EAD" w:rsidRPr="00C3390F" w:rsidRDefault="00CD7EAD" w:rsidP="00141C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CD7EAD" w:rsidRPr="00C3390F" w:rsidRDefault="00CD7EA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76880" w:rsidRPr="00C3390F" w:rsidTr="00F76880">
        <w:trPr>
          <w:cantSplit/>
          <w:trHeight w:val="483"/>
        </w:trPr>
        <w:tc>
          <w:tcPr>
            <w:tcW w:w="1526" w:type="dxa"/>
            <w:vMerge w:val="restart"/>
            <w:vAlign w:val="center"/>
          </w:tcPr>
          <w:p w:rsidR="00F76880" w:rsidRPr="00C3390F" w:rsidRDefault="00F76880" w:rsidP="00F7688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76880">
              <w:rPr>
                <w:rFonts w:ascii="Times New Roman" w:eastAsia="標楷體" w:hAnsi="Times New Roman" w:hint="eastAsia"/>
                <w:szCs w:val="24"/>
              </w:rPr>
              <w:t>本案人員規劃及專業度</w:t>
            </w:r>
          </w:p>
        </w:tc>
        <w:tc>
          <w:tcPr>
            <w:tcW w:w="6804" w:type="dxa"/>
            <w:gridSpan w:val="2"/>
            <w:vAlign w:val="center"/>
          </w:tcPr>
          <w:p w:rsidR="00F76880" w:rsidRPr="00F76880" w:rsidRDefault="00F76880" w:rsidP="00F76880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76880">
              <w:rPr>
                <w:rFonts w:ascii="標楷體" w:eastAsia="標楷體" w:hAnsi="標楷體" w:hint="eastAsia"/>
                <w:szCs w:val="24"/>
              </w:rPr>
              <w:t>專業人力配置、資歷及專長：</w:t>
            </w:r>
          </w:p>
          <w:p w:rsidR="00F76880" w:rsidRPr="00F76880" w:rsidRDefault="00F76880" w:rsidP="00F76880">
            <w:pPr>
              <w:pStyle w:val="a8"/>
              <w:numPr>
                <w:ilvl w:val="1"/>
                <w:numId w:val="25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F76880">
              <w:rPr>
                <w:rFonts w:ascii="標楷體" w:eastAsia="標楷體" w:hAnsi="標楷體" w:hint="eastAsia"/>
                <w:szCs w:val="24"/>
              </w:rPr>
              <w:t>專業人員依法規配置外，另有支援護理師、社工、營養師及藥師等專業人員之配置。</w:t>
            </w:r>
          </w:p>
          <w:p w:rsidR="00F76880" w:rsidRPr="00F76880" w:rsidRDefault="00F76880" w:rsidP="00F76880">
            <w:pPr>
              <w:pStyle w:val="a8"/>
              <w:numPr>
                <w:ilvl w:val="1"/>
                <w:numId w:val="25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F76880">
              <w:rPr>
                <w:rFonts w:ascii="標楷體" w:eastAsia="標楷體" w:hAnsi="標楷體" w:hint="eastAsia"/>
                <w:szCs w:val="24"/>
              </w:rPr>
              <w:t>專業人力資歷、專長之規劃：具有1年及3年以上日間照顧經驗之專任專業人力之配置</w:t>
            </w:r>
            <w:proofErr w:type="gramStart"/>
            <w:r w:rsidRPr="00F76880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F76880">
              <w:rPr>
                <w:rFonts w:ascii="標楷體" w:eastAsia="標楷體" w:hAnsi="標楷體" w:hint="eastAsia"/>
                <w:szCs w:val="24"/>
              </w:rPr>
              <w:t>須檢附佐證資料) 。</w:t>
            </w:r>
          </w:p>
        </w:tc>
        <w:tc>
          <w:tcPr>
            <w:tcW w:w="1417" w:type="dxa"/>
            <w:vAlign w:val="center"/>
          </w:tcPr>
          <w:p w:rsidR="00F76880" w:rsidRPr="00C3390F" w:rsidRDefault="00F76880" w:rsidP="00141C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F76880" w:rsidRPr="00C3390F" w:rsidRDefault="00F76880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76880" w:rsidRPr="00C3390F" w:rsidTr="00781939">
        <w:trPr>
          <w:cantSplit/>
          <w:trHeight w:val="483"/>
        </w:trPr>
        <w:tc>
          <w:tcPr>
            <w:tcW w:w="1526" w:type="dxa"/>
            <w:vMerge/>
            <w:textDirection w:val="tbRlV"/>
            <w:vAlign w:val="center"/>
          </w:tcPr>
          <w:p w:rsidR="00F76880" w:rsidRPr="00C3390F" w:rsidRDefault="00F76880" w:rsidP="00F5328B">
            <w:pPr>
              <w:ind w:left="113" w:right="113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76880" w:rsidRPr="00F76880" w:rsidRDefault="00F76880" w:rsidP="00F76880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76880">
              <w:rPr>
                <w:rFonts w:ascii="標楷體" w:eastAsia="標楷體" w:hAnsi="標楷體" w:hint="eastAsia"/>
                <w:szCs w:val="24"/>
              </w:rPr>
              <w:t>機構內的人員訓練訓練安排：</w:t>
            </w:r>
          </w:p>
          <w:p w:rsidR="00F76880" w:rsidRPr="00F76880" w:rsidRDefault="00F76880" w:rsidP="00F76880">
            <w:pPr>
              <w:pStyle w:val="a8"/>
              <w:numPr>
                <w:ilvl w:val="1"/>
                <w:numId w:val="25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F76880">
              <w:rPr>
                <w:rFonts w:ascii="標楷體" w:eastAsia="標楷體" w:hAnsi="標楷體" w:hint="eastAsia"/>
                <w:szCs w:val="24"/>
              </w:rPr>
              <w:t>治療師擬訂照顧</w:t>
            </w:r>
            <w:proofErr w:type="gramStart"/>
            <w:r w:rsidRPr="00F76880">
              <w:rPr>
                <w:rFonts w:ascii="標楷體" w:eastAsia="標楷體" w:hAnsi="標楷體" w:hint="eastAsia"/>
                <w:szCs w:val="24"/>
              </w:rPr>
              <w:t>服務員復能活動</w:t>
            </w:r>
            <w:proofErr w:type="gramEnd"/>
            <w:r w:rsidRPr="00F76880">
              <w:rPr>
                <w:rFonts w:ascii="標楷體" w:eastAsia="標楷體" w:hAnsi="標楷體" w:hint="eastAsia"/>
                <w:szCs w:val="24"/>
              </w:rPr>
              <w:t>指導計畫。</w:t>
            </w:r>
          </w:p>
          <w:p w:rsidR="00F76880" w:rsidRPr="00F76880" w:rsidRDefault="00F76880" w:rsidP="00F76880">
            <w:pPr>
              <w:pStyle w:val="a8"/>
              <w:numPr>
                <w:ilvl w:val="1"/>
                <w:numId w:val="25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r w:rsidRPr="00F76880">
              <w:rPr>
                <w:rFonts w:ascii="標楷體" w:eastAsia="標楷體" w:hAnsi="標楷體" w:hint="eastAsia"/>
                <w:szCs w:val="24"/>
              </w:rPr>
              <w:t>口腔照護訓練(</w:t>
            </w:r>
            <w:proofErr w:type="gramStart"/>
            <w:r w:rsidRPr="00F76880">
              <w:rPr>
                <w:rFonts w:ascii="標楷體" w:eastAsia="標楷體" w:hAnsi="標楷體" w:hint="eastAsia"/>
                <w:szCs w:val="24"/>
              </w:rPr>
              <w:t>健口操等</w:t>
            </w:r>
            <w:proofErr w:type="gramEnd"/>
            <w:r w:rsidRPr="00F76880">
              <w:rPr>
                <w:rFonts w:ascii="標楷體" w:eastAsia="標楷體" w:hAnsi="標楷體" w:hint="eastAsia"/>
                <w:szCs w:val="24"/>
              </w:rPr>
              <w:t>)、營養餐飲訓練(慢性病營養攝取等)、藥事管理訓練(慢性病</w:t>
            </w:r>
            <w:proofErr w:type="gramStart"/>
            <w:r w:rsidRPr="00F76880">
              <w:rPr>
                <w:rFonts w:ascii="標楷體" w:eastAsia="標楷體" w:hAnsi="標楷體" w:hint="eastAsia"/>
                <w:szCs w:val="24"/>
              </w:rPr>
              <w:t>藥事照護</w:t>
            </w:r>
            <w:proofErr w:type="gramEnd"/>
            <w:r w:rsidRPr="00F76880">
              <w:rPr>
                <w:rFonts w:ascii="標楷體" w:eastAsia="標楷體" w:hAnsi="標楷體" w:hint="eastAsia"/>
                <w:szCs w:val="24"/>
              </w:rPr>
              <w:t>等)。</w:t>
            </w:r>
          </w:p>
          <w:p w:rsidR="00F76880" w:rsidRPr="00F76880" w:rsidRDefault="00F76880" w:rsidP="00F76880">
            <w:pPr>
              <w:pStyle w:val="a8"/>
              <w:numPr>
                <w:ilvl w:val="1"/>
                <w:numId w:val="25"/>
              </w:numPr>
              <w:ind w:leftChars="0" w:left="742" w:hanging="425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76880">
              <w:rPr>
                <w:rFonts w:ascii="標楷體" w:eastAsia="標楷體" w:hAnsi="標楷體" w:hint="eastAsia"/>
                <w:szCs w:val="24"/>
              </w:rPr>
              <w:t>失智照護專</w:t>
            </w:r>
            <w:proofErr w:type="gramEnd"/>
            <w:r w:rsidRPr="00F76880">
              <w:rPr>
                <w:rFonts w:ascii="標楷體" w:eastAsia="標楷體" w:hAnsi="標楷體" w:hint="eastAsia"/>
                <w:szCs w:val="24"/>
              </w:rPr>
              <w:t>業訓練。</w:t>
            </w:r>
          </w:p>
        </w:tc>
        <w:tc>
          <w:tcPr>
            <w:tcW w:w="1417" w:type="dxa"/>
            <w:vAlign w:val="center"/>
          </w:tcPr>
          <w:p w:rsidR="00F76880" w:rsidRPr="00C3390F" w:rsidRDefault="00F76880" w:rsidP="00141C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F76880" w:rsidRPr="00C3390F" w:rsidRDefault="00F76880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76880" w:rsidRPr="00C3390F" w:rsidTr="00781939">
        <w:trPr>
          <w:cantSplit/>
          <w:trHeight w:val="483"/>
        </w:trPr>
        <w:tc>
          <w:tcPr>
            <w:tcW w:w="1526" w:type="dxa"/>
            <w:vMerge/>
            <w:textDirection w:val="tbRlV"/>
            <w:vAlign w:val="center"/>
          </w:tcPr>
          <w:p w:rsidR="00F76880" w:rsidRPr="00C3390F" w:rsidRDefault="00F76880" w:rsidP="00F5328B">
            <w:pPr>
              <w:ind w:left="113" w:right="113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76880" w:rsidRPr="00F76880" w:rsidRDefault="00F76880" w:rsidP="00F76880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76880">
              <w:rPr>
                <w:rFonts w:ascii="標楷體" w:eastAsia="標楷體" w:hAnsi="標楷體" w:hint="eastAsia"/>
                <w:szCs w:val="24"/>
              </w:rPr>
              <w:t>本案機構內人力穩定措施規劃(薪資編列、其他福利制度等)。</w:t>
            </w:r>
          </w:p>
        </w:tc>
        <w:tc>
          <w:tcPr>
            <w:tcW w:w="1417" w:type="dxa"/>
            <w:vAlign w:val="center"/>
          </w:tcPr>
          <w:p w:rsidR="00F76880" w:rsidRPr="00C3390F" w:rsidRDefault="00F76880" w:rsidP="00141C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F76880" w:rsidRPr="00C3390F" w:rsidRDefault="00F76880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76880" w:rsidRPr="00C3390F" w:rsidTr="00781939">
        <w:trPr>
          <w:cantSplit/>
          <w:trHeight w:val="483"/>
        </w:trPr>
        <w:tc>
          <w:tcPr>
            <w:tcW w:w="1526" w:type="dxa"/>
            <w:vMerge/>
            <w:textDirection w:val="tbRlV"/>
            <w:vAlign w:val="center"/>
          </w:tcPr>
          <w:p w:rsidR="00F76880" w:rsidRPr="00C3390F" w:rsidRDefault="00F76880" w:rsidP="00F5328B">
            <w:pPr>
              <w:ind w:left="113" w:right="113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76880" w:rsidRPr="00F76880" w:rsidRDefault="00F76880" w:rsidP="00F76880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76880">
              <w:rPr>
                <w:rFonts w:ascii="標楷體" w:eastAsia="標楷體" w:hAnsi="標楷體" w:hint="eastAsia"/>
                <w:szCs w:val="24"/>
              </w:rPr>
              <w:t>應建置醫師諮詢機制流程，含證明文件及轉</w:t>
            </w:r>
            <w:proofErr w:type="gramStart"/>
            <w:r w:rsidRPr="00F76880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F76880">
              <w:rPr>
                <w:rFonts w:ascii="標楷體" w:eastAsia="標楷體" w:hAnsi="標楷體" w:hint="eastAsia"/>
                <w:szCs w:val="24"/>
              </w:rPr>
              <w:t>流程。</w:t>
            </w:r>
          </w:p>
        </w:tc>
        <w:tc>
          <w:tcPr>
            <w:tcW w:w="1417" w:type="dxa"/>
            <w:vAlign w:val="center"/>
          </w:tcPr>
          <w:p w:rsidR="00F76880" w:rsidRPr="00C3390F" w:rsidRDefault="00F76880" w:rsidP="00141C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F76880" w:rsidRPr="00C3390F" w:rsidRDefault="00F76880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76880" w:rsidRPr="00C3390F" w:rsidTr="00F76880">
        <w:trPr>
          <w:cantSplit/>
          <w:trHeight w:val="483"/>
        </w:trPr>
        <w:tc>
          <w:tcPr>
            <w:tcW w:w="1526" w:type="dxa"/>
            <w:vMerge w:val="restart"/>
            <w:vAlign w:val="center"/>
          </w:tcPr>
          <w:p w:rsidR="00F76880" w:rsidRPr="00C3390F" w:rsidRDefault="00F76880" w:rsidP="00F7688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76880">
              <w:rPr>
                <w:rFonts w:ascii="Times New Roman" w:eastAsia="標楷體" w:hAnsi="Times New Roman" w:hint="eastAsia"/>
                <w:szCs w:val="24"/>
              </w:rPr>
              <w:t>本案資源開發</w:t>
            </w:r>
            <w:r w:rsidRPr="00F7688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76880">
              <w:rPr>
                <w:rFonts w:ascii="Times New Roman" w:eastAsia="標楷體" w:hAnsi="Times New Roman" w:hint="eastAsia"/>
                <w:szCs w:val="24"/>
              </w:rPr>
              <w:t>醫療資源、長照據點與服務單位的連結性</w:t>
            </w:r>
            <w:r w:rsidRPr="00F7688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04" w:type="dxa"/>
            <w:gridSpan w:val="2"/>
            <w:vAlign w:val="center"/>
          </w:tcPr>
          <w:p w:rsidR="00F76880" w:rsidRPr="00F76880" w:rsidRDefault="00F76880" w:rsidP="00F76880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76880">
              <w:rPr>
                <w:rFonts w:ascii="標楷體" w:eastAsia="標楷體" w:hAnsi="標楷體" w:hint="eastAsia"/>
                <w:szCs w:val="24"/>
              </w:rPr>
              <w:t>如何與在地衛生所、醫療機構合作(長者就醫轉</w:t>
            </w:r>
            <w:proofErr w:type="gramStart"/>
            <w:r w:rsidRPr="00F76880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F76880">
              <w:rPr>
                <w:rFonts w:ascii="標楷體" w:eastAsia="標楷體" w:hAnsi="標楷體" w:hint="eastAsia"/>
                <w:szCs w:val="24"/>
              </w:rPr>
              <w:t>流程、長者慢性疾病監測及回診機制)。</w:t>
            </w:r>
          </w:p>
        </w:tc>
        <w:tc>
          <w:tcPr>
            <w:tcW w:w="1417" w:type="dxa"/>
            <w:vAlign w:val="center"/>
          </w:tcPr>
          <w:p w:rsidR="00F76880" w:rsidRPr="00C3390F" w:rsidRDefault="00F76880" w:rsidP="00141C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F76880" w:rsidRPr="00C3390F" w:rsidRDefault="00F76880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76880" w:rsidRPr="00C3390F" w:rsidTr="00F76880">
        <w:trPr>
          <w:cantSplit/>
          <w:trHeight w:val="483"/>
        </w:trPr>
        <w:tc>
          <w:tcPr>
            <w:tcW w:w="1526" w:type="dxa"/>
            <w:vMerge/>
            <w:vAlign w:val="center"/>
          </w:tcPr>
          <w:p w:rsidR="00F76880" w:rsidRPr="00F76880" w:rsidRDefault="00F76880" w:rsidP="00F768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76880" w:rsidRPr="00F76880" w:rsidRDefault="00F76880" w:rsidP="00F76880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76880">
              <w:rPr>
                <w:rFonts w:ascii="標楷體" w:eastAsia="標楷體" w:hAnsi="標楷體" w:hint="eastAsia"/>
                <w:szCs w:val="24"/>
              </w:rPr>
              <w:t>是否具備與本縣在地社區連結之經驗與實績(失智據點、C據點、關懷據點等日照中心(失智、失能或混合)及團體家屋衛教宣導)。</w:t>
            </w:r>
          </w:p>
        </w:tc>
        <w:tc>
          <w:tcPr>
            <w:tcW w:w="1417" w:type="dxa"/>
            <w:vAlign w:val="center"/>
          </w:tcPr>
          <w:p w:rsidR="00F76880" w:rsidRPr="00C3390F" w:rsidRDefault="00F76880" w:rsidP="00141C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有</w:t>
            </w:r>
            <w:r w:rsidRPr="00C3390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390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3390F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F76880" w:rsidRPr="00C3390F" w:rsidRDefault="00F76880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B520D1" w:rsidRPr="005449FD" w:rsidRDefault="00B520D1" w:rsidP="00AA59EC">
      <w:pPr>
        <w:rPr>
          <w:rFonts w:ascii="Times New Roman" w:eastAsia="標楷體" w:hAnsi="Times New Roman"/>
          <w:sz w:val="32"/>
          <w:szCs w:val="32"/>
        </w:rPr>
      </w:pPr>
    </w:p>
    <w:sectPr w:rsidR="00B520D1" w:rsidRPr="005449FD" w:rsidSect="00F76880">
      <w:footerReference w:type="default" r:id="rId9"/>
      <w:pgSz w:w="11906" w:h="16838"/>
      <w:pgMar w:top="567" w:right="567" w:bottom="567" w:left="567" w:header="851" w:footer="5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3E" w:rsidRDefault="003C693E" w:rsidP="00FB2DCA">
      <w:r>
        <w:separator/>
      </w:r>
    </w:p>
  </w:endnote>
  <w:endnote w:type="continuationSeparator" w:id="0">
    <w:p w:rsidR="003C693E" w:rsidRDefault="003C693E" w:rsidP="00F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461419"/>
      <w:docPartObj>
        <w:docPartGallery w:val="Page Numbers (Bottom of Page)"/>
        <w:docPartUnique/>
      </w:docPartObj>
    </w:sdtPr>
    <w:sdtEndPr/>
    <w:sdtContent>
      <w:p w:rsidR="00F76880" w:rsidRDefault="00F76880" w:rsidP="00F768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B1A" w:rsidRPr="00806B1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3E" w:rsidRDefault="003C693E" w:rsidP="00FB2DCA">
      <w:r>
        <w:separator/>
      </w:r>
    </w:p>
  </w:footnote>
  <w:footnote w:type="continuationSeparator" w:id="0">
    <w:p w:rsidR="003C693E" w:rsidRDefault="003C693E" w:rsidP="00FB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C97"/>
    <w:multiLevelType w:val="hybridMultilevel"/>
    <w:tmpl w:val="67A6CF72"/>
    <w:lvl w:ilvl="0" w:tplc="80FCE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FC0E9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9A0672AA">
      <w:start w:val="1"/>
      <w:numFmt w:val="ideograph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C64490"/>
    <w:multiLevelType w:val="hybridMultilevel"/>
    <w:tmpl w:val="2ADA6DE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7629CF"/>
    <w:multiLevelType w:val="hybridMultilevel"/>
    <w:tmpl w:val="324A921C"/>
    <w:lvl w:ilvl="0" w:tplc="97FC0E9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E66F0E"/>
    <w:multiLevelType w:val="hybridMultilevel"/>
    <w:tmpl w:val="81C2727E"/>
    <w:lvl w:ilvl="0" w:tplc="97FC0E9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15276"/>
    <w:multiLevelType w:val="hybridMultilevel"/>
    <w:tmpl w:val="8C786794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2901A1"/>
    <w:multiLevelType w:val="hybridMultilevel"/>
    <w:tmpl w:val="726C3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E51A14"/>
    <w:multiLevelType w:val="hybridMultilevel"/>
    <w:tmpl w:val="579C6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72375C"/>
    <w:multiLevelType w:val="hybridMultilevel"/>
    <w:tmpl w:val="67A6CF72"/>
    <w:lvl w:ilvl="0" w:tplc="80FCE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FC0E9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9A0672AA">
      <w:start w:val="1"/>
      <w:numFmt w:val="ideograph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975E1A"/>
    <w:multiLevelType w:val="hybridMultilevel"/>
    <w:tmpl w:val="BF2EFE18"/>
    <w:lvl w:ilvl="0" w:tplc="80FCE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FC0E9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680" w:hanging="7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8813D0"/>
    <w:multiLevelType w:val="hybridMultilevel"/>
    <w:tmpl w:val="DFA6A4E4"/>
    <w:lvl w:ilvl="0" w:tplc="F5CE9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CF1094"/>
    <w:multiLevelType w:val="hybridMultilevel"/>
    <w:tmpl w:val="867EFD82"/>
    <w:lvl w:ilvl="0" w:tplc="97FC0E9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5870F1"/>
    <w:multiLevelType w:val="hybridMultilevel"/>
    <w:tmpl w:val="AE98B186"/>
    <w:lvl w:ilvl="0" w:tplc="A20E8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E33B20"/>
    <w:multiLevelType w:val="hybridMultilevel"/>
    <w:tmpl w:val="F6AA6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2E634C"/>
    <w:multiLevelType w:val="hybridMultilevel"/>
    <w:tmpl w:val="67A6CF72"/>
    <w:lvl w:ilvl="0" w:tplc="80FCE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FC0E9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9A0672AA">
      <w:start w:val="1"/>
      <w:numFmt w:val="ideograph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E3631C"/>
    <w:multiLevelType w:val="hybridMultilevel"/>
    <w:tmpl w:val="67A6CF72"/>
    <w:lvl w:ilvl="0" w:tplc="80FCE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FC0E9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9A0672AA">
      <w:start w:val="1"/>
      <w:numFmt w:val="ideograph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AE2DF8"/>
    <w:multiLevelType w:val="hybridMultilevel"/>
    <w:tmpl w:val="67A6CF72"/>
    <w:lvl w:ilvl="0" w:tplc="80FCE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FC0E9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9A0672AA">
      <w:start w:val="1"/>
      <w:numFmt w:val="ideograph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B8121A"/>
    <w:multiLevelType w:val="hybridMultilevel"/>
    <w:tmpl w:val="E8D261E8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213893"/>
    <w:multiLevelType w:val="hybridMultilevel"/>
    <w:tmpl w:val="1702261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0876ED"/>
    <w:multiLevelType w:val="hybridMultilevel"/>
    <w:tmpl w:val="AE98B186"/>
    <w:lvl w:ilvl="0" w:tplc="A20E8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EA463A"/>
    <w:multiLevelType w:val="hybridMultilevel"/>
    <w:tmpl w:val="7108D3E8"/>
    <w:lvl w:ilvl="0" w:tplc="D1460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A12796C"/>
    <w:multiLevelType w:val="hybridMultilevel"/>
    <w:tmpl w:val="F5BA9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D35E86"/>
    <w:multiLevelType w:val="hybridMultilevel"/>
    <w:tmpl w:val="67A6CF72"/>
    <w:lvl w:ilvl="0" w:tplc="80FCE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FC0E9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9A0672AA">
      <w:start w:val="1"/>
      <w:numFmt w:val="ideograph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79A215A"/>
    <w:multiLevelType w:val="hybridMultilevel"/>
    <w:tmpl w:val="C82821D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7ED0AF7"/>
    <w:multiLevelType w:val="hybridMultilevel"/>
    <w:tmpl w:val="7B5040D8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7031E0"/>
    <w:multiLevelType w:val="hybridMultilevel"/>
    <w:tmpl w:val="67A6CF72"/>
    <w:lvl w:ilvl="0" w:tplc="80FCE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FC0E9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9A0672AA">
      <w:start w:val="1"/>
      <w:numFmt w:val="ideograph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7043F1"/>
    <w:multiLevelType w:val="hybridMultilevel"/>
    <w:tmpl w:val="FD2E53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2"/>
  </w:num>
  <w:num w:numId="5">
    <w:abstractNumId w:val="17"/>
  </w:num>
  <w:num w:numId="6">
    <w:abstractNumId w:val="23"/>
  </w:num>
  <w:num w:numId="7">
    <w:abstractNumId w:val="12"/>
  </w:num>
  <w:num w:numId="8">
    <w:abstractNumId w:val="16"/>
  </w:num>
  <w:num w:numId="9">
    <w:abstractNumId w:val="18"/>
  </w:num>
  <w:num w:numId="10">
    <w:abstractNumId w:val="9"/>
  </w:num>
  <w:num w:numId="11">
    <w:abstractNumId w:val="19"/>
  </w:num>
  <w:num w:numId="12">
    <w:abstractNumId w:val="6"/>
  </w:num>
  <w:num w:numId="13">
    <w:abstractNumId w:val="25"/>
  </w:num>
  <w:num w:numId="14">
    <w:abstractNumId w:val="20"/>
  </w:num>
  <w:num w:numId="15">
    <w:abstractNumId w:val="11"/>
  </w:num>
  <w:num w:numId="16">
    <w:abstractNumId w:val="24"/>
  </w:num>
  <w:num w:numId="17">
    <w:abstractNumId w:val="15"/>
  </w:num>
  <w:num w:numId="18">
    <w:abstractNumId w:val="8"/>
  </w:num>
  <w:num w:numId="19">
    <w:abstractNumId w:val="0"/>
  </w:num>
  <w:num w:numId="20">
    <w:abstractNumId w:val="14"/>
  </w:num>
  <w:num w:numId="21">
    <w:abstractNumId w:val="10"/>
  </w:num>
  <w:num w:numId="22">
    <w:abstractNumId w:val="2"/>
  </w:num>
  <w:num w:numId="23">
    <w:abstractNumId w:val="13"/>
  </w:num>
  <w:num w:numId="24">
    <w:abstractNumId w:val="3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81"/>
    <w:rsid w:val="00037573"/>
    <w:rsid w:val="000408E2"/>
    <w:rsid w:val="0005691A"/>
    <w:rsid w:val="000736BC"/>
    <w:rsid w:val="000900B4"/>
    <w:rsid w:val="000B7B5B"/>
    <w:rsid w:val="000D1E8C"/>
    <w:rsid w:val="000D778D"/>
    <w:rsid w:val="000E1093"/>
    <w:rsid w:val="000F198D"/>
    <w:rsid w:val="000F338D"/>
    <w:rsid w:val="00105415"/>
    <w:rsid w:val="00113714"/>
    <w:rsid w:val="00127E9A"/>
    <w:rsid w:val="00136951"/>
    <w:rsid w:val="001452E3"/>
    <w:rsid w:val="00146462"/>
    <w:rsid w:val="0014683A"/>
    <w:rsid w:val="0015059F"/>
    <w:rsid w:val="00155F8A"/>
    <w:rsid w:val="001765C1"/>
    <w:rsid w:val="001774B4"/>
    <w:rsid w:val="001843B5"/>
    <w:rsid w:val="001A66D0"/>
    <w:rsid w:val="001A6AF6"/>
    <w:rsid w:val="001A7538"/>
    <w:rsid w:val="001E3523"/>
    <w:rsid w:val="001E5968"/>
    <w:rsid w:val="00211021"/>
    <w:rsid w:val="00230181"/>
    <w:rsid w:val="002332D6"/>
    <w:rsid w:val="00272FF1"/>
    <w:rsid w:val="002735E3"/>
    <w:rsid w:val="002947F6"/>
    <w:rsid w:val="002958B7"/>
    <w:rsid w:val="002B6014"/>
    <w:rsid w:val="002B7BCC"/>
    <w:rsid w:val="002C53B0"/>
    <w:rsid w:val="002D0326"/>
    <w:rsid w:val="002D497C"/>
    <w:rsid w:val="002D7872"/>
    <w:rsid w:val="002E188A"/>
    <w:rsid w:val="002F6A98"/>
    <w:rsid w:val="003151AE"/>
    <w:rsid w:val="003466C5"/>
    <w:rsid w:val="00367F0B"/>
    <w:rsid w:val="003724A8"/>
    <w:rsid w:val="00380AA6"/>
    <w:rsid w:val="0038341C"/>
    <w:rsid w:val="003961CE"/>
    <w:rsid w:val="003C2D29"/>
    <w:rsid w:val="003C693E"/>
    <w:rsid w:val="003D25F9"/>
    <w:rsid w:val="003F4B12"/>
    <w:rsid w:val="0040267B"/>
    <w:rsid w:val="00402CFF"/>
    <w:rsid w:val="00432CEF"/>
    <w:rsid w:val="00445582"/>
    <w:rsid w:val="00461D46"/>
    <w:rsid w:val="004628A4"/>
    <w:rsid w:val="0048030D"/>
    <w:rsid w:val="00481ECC"/>
    <w:rsid w:val="00490434"/>
    <w:rsid w:val="004D5E1D"/>
    <w:rsid w:val="004D661D"/>
    <w:rsid w:val="004D74A0"/>
    <w:rsid w:val="004E59DB"/>
    <w:rsid w:val="004F35AA"/>
    <w:rsid w:val="00502941"/>
    <w:rsid w:val="00505617"/>
    <w:rsid w:val="005151F5"/>
    <w:rsid w:val="0053316D"/>
    <w:rsid w:val="005449FD"/>
    <w:rsid w:val="005630B8"/>
    <w:rsid w:val="00570B2A"/>
    <w:rsid w:val="005732C7"/>
    <w:rsid w:val="00586453"/>
    <w:rsid w:val="00591192"/>
    <w:rsid w:val="00593170"/>
    <w:rsid w:val="00595B82"/>
    <w:rsid w:val="00596031"/>
    <w:rsid w:val="005A00EE"/>
    <w:rsid w:val="005A3114"/>
    <w:rsid w:val="005B486B"/>
    <w:rsid w:val="005B5A5A"/>
    <w:rsid w:val="005C73BD"/>
    <w:rsid w:val="005D055C"/>
    <w:rsid w:val="005D49E9"/>
    <w:rsid w:val="005D7587"/>
    <w:rsid w:val="005E4FDD"/>
    <w:rsid w:val="006463CD"/>
    <w:rsid w:val="0064718A"/>
    <w:rsid w:val="00647BF8"/>
    <w:rsid w:val="00670A8F"/>
    <w:rsid w:val="00676FD4"/>
    <w:rsid w:val="00680C02"/>
    <w:rsid w:val="00683E61"/>
    <w:rsid w:val="006D0BC8"/>
    <w:rsid w:val="006E0D30"/>
    <w:rsid w:val="006E51D0"/>
    <w:rsid w:val="006E632E"/>
    <w:rsid w:val="006E6349"/>
    <w:rsid w:val="00702DEB"/>
    <w:rsid w:val="00727B33"/>
    <w:rsid w:val="00731897"/>
    <w:rsid w:val="007319E4"/>
    <w:rsid w:val="00753438"/>
    <w:rsid w:val="007772F3"/>
    <w:rsid w:val="00777ED2"/>
    <w:rsid w:val="00783350"/>
    <w:rsid w:val="0078647C"/>
    <w:rsid w:val="0079224D"/>
    <w:rsid w:val="007941D9"/>
    <w:rsid w:val="007A1481"/>
    <w:rsid w:val="007A4343"/>
    <w:rsid w:val="007C2C28"/>
    <w:rsid w:val="008026C9"/>
    <w:rsid w:val="00806160"/>
    <w:rsid w:val="00806B1A"/>
    <w:rsid w:val="00812E08"/>
    <w:rsid w:val="0082234D"/>
    <w:rsid w:val="0082696E"/>
    <w:rsid w:val="008354FB"/>
    <w:rsid w:val="0087222E"/>
    <w:rsid w:val="00887892"/>
    <w:rsid w:val="008A6A97"/>
    <w:rsid w:val="008B21C6"/>
    <w:rsid w:val="008D1C75"/>
    <w:rsid w:val="008D729D"/>
    <w:rsid w:val="008E535F"/>
    <w:rsid w:val="008F7168"/>
    <w:rsid w:val="008F78FD"/>
    <w:rsid w:val="009009D6"/>
    <w:rsid w:val="00904596"/>
    <w:rsid w:val="00917D33"/>
    <w:rsid w:val="00941654"/>
    <w:rsid w:val="00955A08"/>
    <w:rsid w:val="00956447"/>
    <w:rsid w:val="009607EF"/>
    <w:rsid w:val="00964E15"/>
    <w:rsid w:val="00990B92"/>
    <w:rsid w:val="009B334B"/>
    <w:rsid w:val="009B7A0F"/>
    <w:rsid w:val="009D1336"/>
    <w:rsid w:val="00A35C14"/>
    <w:rsid w:val="00A62D34"/>
    <w:rsid w:val="00A908E6"/>
    <w:rsid w:val="00AA1CF9"/>
    <w:rsid w:val="00AA59EC"/>
    <w:rsid w:val="00AA6F24"/>
    <w:rsid w:val="00AA70A4"/>
    <w:rsid w:val="00AF5BF8"/>
    <w:rsid w:val="00B05602"/>
    <w:rsid w:val="00B12D9D"/>
    <w:rsid w:val="00B17278"/>
    <w:rsid w:val="00B26751"/>
    <w:rsid w:val="00B520D1"/>
    <w:rsid w:val="00B629B2"/>
    <w:rsid w:val="00B70EB6"/>
    <w:rsid w:val="00B75AE3"/>
    <w:rsid w:val="00B76DE4"/>
    <w:rsid w:val="00BB6A39"/>
    <w:rsid w:val="00C22E67"/>
    <w:rsid w:val="00C3390F"/>
    <w:rsid w:val="00C526ED"/>
    <w:rsid w:val="00C532C1"/>
    <w:rsid w:val="00C77C92"/>
    <w:rsid w:val="00CB6992"/>
    <w:rsid w:val="00CB6FE9"/>
    <w:rsid w:val="00CB7369"/>
    <w:rsid w:val="00CC7017"/>
    <w:rsid w:val="00CD7EAD"/>
    <w:rsid w:val="00CE56B9"/>
    <w:rsid w:val="00CE64D1"/>
    <w:rsid w:val="00CF1D51"/>
    <w:rsid w:val="00D03C48"/>
    <w:rsid w:val="00D050E3"/>
    <w:rsid w:val="00D07E81"/>
    <w:rsid w:val="00D10D96"/>
    <w:rsid w:val="00D2765C"/>
    <w:rsid w:val="00D344D0"/>
    <w:rsid w:val="00D362BA"/>
    <w:rsid w:val="00D3681F"/>
    <w:rsid w:val="00D421C1"/>
    <w:rsid w:val="00D60E31"/>
    <w:rsid w:val="00D84984"/>
    <w:rsid w:val="00DA6F71"/>
    <w:rsid w:val="00DC23D9"/>
    <w:rsid w:val="00DE0034"/>
    <w:rsid w:val="00DE5D81"/>
    <w:rsid w:val="00DF6B8D"/>
    <w:rsid w:val="00E05AED"/>
    <w:rsid w:val="00E115F9"/>
    <w:rsid w:val="00E119D1"/>
    <w:rsid w:val="00E13148"/>
    <w:rsid w:val="00E13254"/>
    <w:rsid w:val="00E324A1"/>
    <w:rsid w:val="00E4215E"/>
    <w:rsid w:val="00E633EE"/>
    <w:rsid w:val="00E72AD6"/>
    <w:rsid w:val="00E72CB8"/>
    <w:rsid w:val="00E818FA"/>
    <w:rsid w:val="00E86DC6"/>
    <w:rsid w:val="00EA65C9"/>
    <w:rsid w:val="00EC46EE"/>
    <w:rsid w:val="00EE5186"/>
    <w:rsid w:val="00EF08D7"/>
    <w:rsid w:val="00EF2C4D"/>
    <w:rsid w:val="00F06A01"/>
    <w:rsid w:val="00F16379"/>
    <w:rsid w:val="00F1655A"/>
    <w:rsid w:val="00F32C95"/>
    <w:rsid w:val="00F424C2"/>
    <w:rsid w:val="00F5328B"/>
    <w:rsid w:val="00F6517F"/>
    <w:rsid w:val="00F751AD"/>
    <w:rsid w:val="00F76880"/>
    <w:rsid w:val="00F81B51"/>
    <w:rsid w:val="00F935E7"/>
    <w:rsid w:val="00F94EC4"/>
    <w:rsid w:val="00F96793"/>
    <w:rsid w:val="00FA3519"/>
    <w:rsid w:val="00FA6BCF"/>
    <w:rsid w:val="00FB2DCA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DCA"/>
    <w:rPr>
      <w:sz w:val="20"/>
      <w:szCs w:val="20"/>
    </w:rPr>
  </w:style>
  <w:style w:type="table" w:styleId="a7">
    <w:name w:val="Table Grid"/>
    <w:basedOn w:val="a1"/>
    <w:uiPriority w:val="59"/>
    <w:rsid w:val="00FB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7B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DCA"/>
    <w:rPr>
      <w:sz w:val="20"/>
      <w:szCs w:val="20"/>
    </w:rPr>
  </w:style>
  <w:style w:type="table" w:styleId="a7">
    <w:name w:val="Table Grid"/>
    <w:basedOn w:val="a1"/>
    <w:uiPriority w:val="59"/>
    <w:rsid w:val="00FB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80A1-C2E7-4A52-BC71-1D5AF221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2024-03-28T00:40:00Z</cp:lastPrinted>
  <dcterms:created xsi:type="dcterms:W3CDTF">2023-06-07T06:40:00Z</dcterms:created>
  <dcterms:modified xsi:type="dcterms:W3CDTF">2024-03-28T00:40:00Z</dcterms:modified>
</cp:coreProperties>
</file>