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5C24" w14:textId="77777777" w:rsidR="00E81B28" w:rsidRPr="005836A0" w:rsidRDefault="00E81B28" w:rsidP="00E81B28">
      <w:pPr>
        <w:snapToGrid w:val="0"/>
        <w:jc w:val="center"/>
        <w:rPr>
          <w:rFonts w:ascii="標楷體" w:eastAsia="標楷體" w:hAnsi="標楷體"/>
          <w:b/>
          <w:bCs/>
          <w:sz w:val="32"/>
          <w:szCs w:val="32"/>
        </w:rPr>
      </w:pPr>
      <w:r w:rsidRPr="005836A0">
        <w:rPr>
          <w:rFonts w:ascii="標楷體" w:eastAsia="標楷體" w:hAnsi="標楷體" w:hint="eastAsia"/>
          <w:b/>
          <w:sz w:val="32"/>
          <w:szCs w:val="32"/>
        </w:rPr>
        <w:t>彰化縣衛生局辦理</w:t>
      </w:r>
      <w:r w:rsidRPr="005836A0">
        <w:rPr>
          <w:rFonts w:ascii="標楷體" w:eastAsia="標楷體" w:hAnsi="標楷體" w:hint="eastAsia"/>
          <w:b/>
          <w:kern w:val="0"/>
          <w:sz w:val="32"/>
          <w:szCs w:val="32"/>
        </w:rPr>
        <w:t>衛福大樓</w:t>
      </w:r>
      <w:r w:rsidRPr="005836A0">
        <w:rPr>
          <w:rFonts w:ascii="標楷體" w:eastAsia="標楷體" w:hAnsi="標楷體"/>
          <w:b/>
          <w:bCs/>
          <w:sz w:val="32"/>
          <w:szCs w:val="32"/>
        </w:rPr>
        <w:t>—</w:t>
      </w:r>
      <w:r w:rsidRPr="005836A0">
        <w:rPr>
          <w:rFonts w:ascii="標楷體" w:eastAsia="標楷體" w:hAnsi="標楷體" w:hint="eastAsia"/>
          <w:b/>
          <w:sz w:val="32"/>
          <w:szCs w:val="32"/>
        </w:rPr>
        <w:t>服務提供單位公開徵選審查評分表</w:t>
      </w:r>
    </w:p>
    <w:p w14:paraId="0905BC28" w14:textId="50CA8AA0" w:rsidR="00E81B28" w:rsidRPr="005836A0" w:rsidRDefault="00E81B28" w:rsidP="00222025">
      <w:pPr>
        <w:spacing w:line="520" w:lineRule="exact"/>
        <w:ind w:left="1560" w:hangingChars="487" w:hanging="1560"/>
        <w:rPr>
          <w:rFonts w:ascii="標楷體" w:eastAsia="標楷體" w:hAnsi="標楷體"/>
          <w:b/>
          <w:sz w:val="32"/>
          <w:szCs w:val="32"/>
        </w:rPr>
      </w:pPr>
      <w:r w:rsidRPr="005836A0">
        <w:rPr>
          <w:rFonts w:ascii="標楷體" w:eastAsia="標楷體" w:hAnsi="標楷體" w:hint="eastAsia"/>
          <w:b/>
          <w:sz w:val="32"/>
          <w:szCs w:val="32"/>
        </w:rPr>
        <w:t>案件名稱：</w:t>
      </w:r>
      <w:r w:rsidR="00647A22" w:rsidRPr="00647A22">
        <w:rPr>
          <w:rFonts w:ascii="Times New Roman" w:eastAsia="標楷體" w:hAnsi="Times New Roman" w:hint="eastAsia"/>
          <w:b/>
          <w:kern w:val="0"/>
          <w:sz w:val="32"/>
          <w:szCs w:val="32"/>
          <w:u w:val="single"/>
        </w:rPr>
        <w:t>彰化縣鹿港區綜合行政大樓</w:t>
      </w:r>
      <w:r w:rsidR="00B84571" w:rsidRPr="00B84571">
        <w:rPr>
          <w:rFonts w:ascii="Times New Roman" w:eastAsia="標楷體" w:hAnsi="Times New Roman" w:hint="eastAsia"/>
          <w:b/>
          <w:kern w:val="0"/>
          <w:sz w:val="32"/>
          <w:szCs w:val="32"/>
          <w:u w:val="single"/>
        </w:rPr>
        <w:t>混合型日照中心</w:t>
      </w:r>
      <w:r w:rsidR="00222025">
        <w:rPr>
          <w:rFonts w:ascii="Times New Roman" w:eastAsia="標楷體" w:hAnsi="Times New Roman" w:hint="eastAsia"/>
          <w:b/>
          <w:kern w:val="0"/>
          <w:sz w:val="32"/>
          <w:szCs w:val="32"/>
          <w:u w:val="single"/>
        </w:rPr>
        <w:t>/</w:t>
      </w:r>
      <w:r w:rsidR="00647A22" w:rsidRPr="00647A22">
        <w:rPr>
          <w:rFonts w:ascii="Times New Roman" w:eastAsia="標楷體" w:hAnsi="Times New Roman" w:hint="eastAsia"/>
          <w:b/>
          <w:kern w:val="0"/>
          <w:sz w:val="32"/>
          <w:szCs w:val="32"/>
          <w:u w:val="single"/>
        </w:rPr>
        <w:t>彰化縣田尾鄉衛生所暨長照衛福大樓</w:t>
      </w:r>
      <w:r w:rsidR="00222025" w:rsidRPr="00B84571">
        <w:rPr>
          <w:rFonts w:ascii="Times New Roman" w:eastAsia="標楷體" w:hAnsi="Times New Roman" w:hint="eastAsia"/>
          <w:b/>
          <w:kern w:val="0"/>
          <w:sz w:val="32"/>
          <w:szCs w:val="32"/>
          <w:u w:val="single"/>
        </w:rPr>
        <w:t>混合型日照中心</w:t>
      </w:r>
    </w:p>
    <w:p w14:paraId="3C0FED4C" w14:textId="77777777" w:rsidR="00E81B28" w:rsidRPr="005836A0" w:rsidRDefault="00E81B28" w:rsidP="00E81B28">
      <w:pPr>
        <w:spacing w:line="360" w:lineRule="auto"/>
        <w:rPr>
          <w:rFonts w:ascii="標楷體" w:eastAsia="標楷體" w:hAnsi="標楷體"/>
          <w:b/>
          <w:sz w:val="32"/>
          <w:szCs w:val="32"/>
          <w:u w:val="single"/>
        </w:rPr>
      </w:pPr>
      <w:r w:rsidRPr="005836A0">
        <w:rPr>
          <w:rFonts w:ascii="標楷體" w:eastAsia="標楷體" w:hAnsi="標楷體" w:hint="eastAsia"/>
          <w:b/>
          <w:sz w:val="32"/>
          <w:szCs w:val="32"/>
        </w:rPr>
        <w:t>徵選單位:</w:t>
      </w:r>
      <w:r w:rsidRPr="005836A0">
        <w:rPr>
          <w:rFonts w:ascii="標楷體" w:eastAsia="標楷體" w:hAnsi="標楷體" w:hint="eastAsia"/>
          <w:b/>
          <w:sz w:val="32"/>
          <w:szCs w:val="32"/>
          <w:u w:val="single"/>
        </w:rPr>
        <w:t xml:space="preserve">                               </w:t>
      </w:r>
    </w:p>
    <w:tbl>
      <w:tblPr>
        <w:tblStyle w:val="a3"/>
        <w:tblW w:w="0" w:type="auto"/>
        <w:tblLook w:val="04A0" w:firstRow="1" w:lastRow="0" w:firstColumn="1" w:lastColumn="0" w:noHBand="0" w:noVBand="1"/>
      </w:tblPr>
      <w:tblGrid>
        <w:gridCol w:w="1809"/>
        <w:gridCol w:w="7088"/>
        <w:gridCol w:w="797"/>
      </w:tblGrid>
      <w:tr w:rsidR="005836A0" w:rsidRPr="005836A0" w14:paraId="43B9E10B" w14:textId="77777777" w:rsidTr="00C126BA">
        <w:tc>
          <w:tcPr>
            <w:tcW w:w="1809" w:type="dxa"/>
            <w:shd w:val="clear" w:color="auto" w:fill="D9D9D9" w:themeFill="background1" w:themeFillShade="D9"/>
          </w:tcPr>
          <w:p w14:paraId="4A0F613D" w14:textId="77777777" w:rsidR="00E81B28" w:rsidRPr="005836A0" w:rsidRDefault="00E81B28" w:rsidP="00DC5E9A">
            <w:pPr>
              <w:jc w:val="center"/>
              <w:rPr>
                <w:rFonts w:ascii="標楷體" w:eastAsia="標楷體" w:hAnsi="標楷體"/>
              </w:rPr>
            </w:pPr>
            <w:r w:rsidRPr="005836A0">
              <w:rPr>
                <w:rFonts w:ascii="標楷體" w:eastAsia="標楷體" w:hAnsi="標楷體" w:hint="eastAsia"/>
                <w:sz w:val="26"/>
                <w:szCs w:val="26"/>
              </w:rPr>
              <w:t>項目</w:t>
            </w:r>
          </w:p>
        </w:tc>
        <w:tc>
          <w:tcPr>
            <w:tcW w:w="7088" w:type="dxa"/>
            <w:shd w:val="clear" w:color="auto" w:fill="D9D9D9" w:themeFill="background1" w:themeFillShade="D9"/>
          </w:tcPr>
          <w:p w14:paraId="4B1238D3" w14:textId="77777777" w:rsidR="00E81B28" w:rsidRPr="005836A0" w:rsidRDefault="00E81B28" w:rsidP="00DC5E9A">
            <w:pPr>
              <w:jc w:val="center"/>
              <w:rPr>
                <w:rFonts w:ascii="標楷體" w:eastAsia="標楷體" w:hAnsi="標楷體"/>
              </w:rPr>
            </w:pPr>
            <w:r w:rsidRPr="005836A0">
              <w:rPr>
                <w:rFonts w:ascii="標楷體" w:eastAsia="標楷體" w:hAnsi="標楷體" w:hint="eastAsia"/>
                <w:sz w:val="26"/>
                <w:szCs w:val="26"/>
              </w:rPr>
              <w:t>內容</w:t>
            </w:r>
          </w:p>
        </w:tc>
        <w:tc>
          <w:tcPr>
            <w:tcW w:w="797" w:type="dxa"/>
            <w:shd w:val="clear" w:color="auto" w:fill="D9D9D9" w:themeFill="background1" w:themeFillShade="D9"/>
          </w:tcPr>
          <w:p w14:paraId="151AE46D" w14:textId="77777777" w:rsidR="00E81B28" w:rsidRPr="005836A0" w:rsidRDefault="00E81B28" w:rsidP="00DC5E9A">
            <w:pPr>
              <w:jc w:val="center"/>
              <w:rPr>
                <w:rFonts w:ascii="標楷體" w:eastAsia="標楷體" w:hAnsi="標楷體"/>
              </w:rPr>
            </w:pPr>
            <w:r w:rsidRPr="005836A0">
              <w:rPr>
                <w:rFonts w:ascii="標楷體" w:eastAsia="標楷體" w:hAnsi="標楷體" w:hint="eastAsia"/>
                <w:sz w:val="26"/>
                <w:szCs w:val="26"/>
              </w:rPr>
              <w:t>分數</w:t>
            </w:r>
          </w:p>
        </w:tc>
      </w:tr>
      <w:tr w:rsidR="005836A0" w:rsidRPr="005836A0" w14:paraId="46C3D74A" w14:textId="77777777" w:rsidTr="00DC5E9A">
        <w:tc>
          <w:tcPr>
            <w:tcW w:w="1809" w:type="dxa"/>
          </w:tcPr>
          <w:p w14:paraId="4CFB4CB8" w14:textId="77777777" w:rsidR="006C650F" w:rsidRPr="00C126BA" w:rsidRDefault="00E81B28" w:rsidP="00C702CA">
            <w:pPr>
              <w:jc w:val="center"/>
              <w:rPr>
                <w:rFonts w:ascii="標楷體" w:eastAsia="標楷體" w:hAnsi="標楷體"/>
                <w:sz w:val="26"/>
                <w:szCs w:val="26"/>
              </w:rPr>
            </w:pPr>
            <w:r w:rsidRPr="00C126BA">
              <w:rPr>
                <w:rFonts w:ascii="標楷體" w:eastAsia="標楷體" w:hAnsi="標楷體" w:hint="eastAsia"/>
                <w:sz w:val="26"/>
                <w:szCs w:val="26"/>
              </w:rPr>
              <w:t>組織健全性</w:t>
            </w:r>
          </w:p>
          <w:p w14:paraId="5FBB13FF" w14:textId="77777777" w:rsidR="00E81B28" w:rsidRPr="00C126BA" w:rsidRDefault="00E81B28" w:rsidP="00C702CA">
            <w:pPr>
              <w:jc w:val="center"/>
              <w:rPr>
                <w:rFonts w:ascii="標楷體" w:eastAsia="標楷體" w:hAnsi="標楷體"/>
              </w:rPr>
            </w:pPr>
            <w:r w:rsidRPr="00C126BA">
              <w:rPr>
                <w:rFonts w:ascii="標楷體" w:eastAsia="標楷體" w:hAnsi="標楷體" w:hint="eastAsia"/>
                <w:sz w:val="26"/>
                <w:szCs w:val="26"/>
              </w:rPr>
              <w:t>(</w:t>
            </w:r>
            <w:r w:rsidR="00A24A4B" w:rsidRPr="00C126BA">
              <w:rPr>
                <w:rFonts w:ascii="標楷體" w:eastAsia="標楷體" w:hAnsi="標楷體" w:hint="eastAsia"/>
                <w:sz w:val="26"/>
                <w:szCs w:val="26"/>
              </w:rPr>
              <w:t>4</w:t>
            </w:r>
            <w:r w:rsidRPr="00C126BA">
              <w:rPr>
                <w:rFonts w:ascii="標楷體" w:eastAsia="標楷體" w:hAnsi="標楷體" w:hint="eastAsia"/>
                <w:sz w:val="26"/>
                <w:szCs w:val="26"/>
              </w:rPr>
              <w:t>分)</w:t>
            </w:r>
          </w:p>
        </w:tc>
        <w:tc>
          <w:tcPr>
            <w:tcW w:w="7088" w:type="dxa"/>
          </w:tcPr>
          <w:p w14:paraId="26FAFFB8" w14:textId="77777777" w:rsidR="00E81B28" w:rsidRPr="00C126BA" w:rsidRDefault="00E81B28" w:rsidP="00DC5E9A">
            <w:pPr>
              <w:pStyle w:val="a4"/>
              <w:numPr>
                <w:ilvl w:val="0"/>
                <w:numId w:val="1"/>
              </w:numPr>
              <w:ind w:leftChars="0" w:left="318" w:hanging="318"/>
              <w:jc w:val="both"/>
              <w:rPr>
                <w:rFonts w:ascii="標楷體" w:eastAsia="標楷體" w:hAnsi="標楷體"/>
                <w:sz w:val="26"/>
                <w:szCs w:val="26"/>
              </w:rPr>
            </w:pPr>
            <w:r w:rsidRPr="00C126BA">
              <w:rPr>
                <w:rFonts w:ascii="標楷體" w:eastAsia="標楷體" w:hAnsi="標楷體" w:hint="eastAsia"/>
                <w:sz w:val="26"/>
                <w:szCs w:val="26"/>
              </w:rPr>
              <w:t>組織架構及服務項目簡介。</w:t>
            </w:r>
          </w:p>
          <w:p w14:paraId="063106C5" w14:textId="77777777" w:rsidR="00E81B28" w:rsidRPr="00C126BA" w:rsidRDefault="00E81B28" w:rsidP="00DC5E9A">
            <w:pPr>
              <w:pStyle w:val="a4"/>
              <w:numPr>
                <w:ilvl w:val="0"/>
                <w:numId w:val="1"/>
              </w:numPr>
              <w:ind w:leftChars="0" w:left="318" w:hanging="318"/>
              <w:jc w:val="both"/>
              <w:rPr>
                <w:rFonts w:ascii="標楷體" w:eastAsia="標楷體" w:hAnsi="標楷體"/>
              </w:rPr>
            </w:pPr>
            <w:r w:rsidRPr="00C126BA">
              <w:rPr>
                <w:rFonts w:ascii="標楷體" w:eastAsia="標楷體" w:hAnsi="標楷體" w:hint="eastAsia"/>
                <w:sz w:val="26"/>
                <w:szCs w:val="26"/>
              </w:rPr>
              <w:t>組織在地經營理念及規劃。</w:t>
            </w:r>
          </w:p>
        </w:tc>
        <w:tc>
          <w:tcPr>
            <w:tcW w:w="797" w:type="dxa"/>
          </w:tcPr>
          <w:p w14:paraId="21DD6DA3" w14:textId="77777777" w:rsidR="00E81B28" w:rsidRPr="00C126BA" w:rsidRDefault="00E81B28">
            <w:pPr>
              <w:rPr>
                <w:rFonts w:ascii="標楷體" w:eastAsia="標楷體" w:hAnsi="標楷體"/>
              </w:rPr>
            </w:pPr>
          </w:p>
        </w:tc>
      </w:tr>
      <w:tr w:rsidR="005836A0" w:rsidRPr="005836A0" w14:paraId="71E2F540" w14:textId="77777777" w:rsidTr="00DC5E9A">
        <w:tc>
          <w:tcPr>
            <w:tcW w:w="1809" w:type="dxa"/>
          </w:tcPr>
          <w:p w14:paraId="6226F9E3" w14:textId="77777777" w:rsidR="006C650F" w:rsidRPr="00C126BA" w:rsidRDefault="00E81B28" w:rsidP="00C702CA">
            <w:pPr>
              <w:jc w:val="center"/>
              <w:rPr>
                <w:rFonts w:ascii="標楷體" w:eastAsia="標楷體" w:hAnsi="標楷體"/>
                <w:sz w:val="26"/>
                <w:szCs w:val="26"/>
              </w:rPr>
            </w:pPr>
            <w:r w:rsidRPr="00C126BA">
              <w:rPr>
                <w:rFonts w:ascii="標楷體" w:eastAsia="標楷體" w:hAnsi="標楷體" w:hint="eastAsia"/>
                <w:sz w:val="26"/>
                <w:szCs w:val="26"/>
              </w:rPr>
              <w:t>財務健全性</w:t>
            </w:r>
          </w:p>
          <w:p w14:paraId="0C4D68A9" w14:textId="77777777" w:rsidR="00E81B28" w:rsidRPr="00C126BA" w:rsidRDefault="00E81B28" w:rsidP="00C702CA">
            <w:pPr>
              <w:jc w:val="center"/>
              <w:rPr>
                <w:rFonts w:ascii="標楷體" w:eastAsia="標楷體" w:hAnsi="標楷體"/>
                <w:sz w:val="26"/>
                <w:szCs w:val="26"/>
              </w:rPr>
            </w:pPr>
            <w:r w:rsidRPr="00C126BA">
              <w:rPr>
                <w:rFonts w:ascii="標楷體" w:eastAsia="標楷體" w:hAnsi="標楷體" w:hint="eastAsia"/>
                <w:sz w:val="26"/>
                <w:szCs w:val="26"/>
              </w:rPr>
              <w:t>(</w:t>
            </w:r>
            <w:r w:rsidR="00A24A4B" w:rsidRPr="00C126BA">
              <w:rPr>
                <w:rFonts w:ascii="標楷體" w:eastAsia="標楷體" w:hAnsi="標楷體" w:hint="eastAsia"/>
                <w:sz w:val="26"/>
                <w:szCs w:val="26"/>
              </w:rPr>
              <w:t>6</w:t>
            </w:r>
            <w:r w:rsidRPr="00C126BA">
              <w:rPr>
                <w:rFonts w:ascii="標楷體" w:eastAsia="標楷體" w:hAnsi="標楷體" w:hint="eastAsia"/>
                <w:sz w:val="26"/>
                <w:szCs w:val="26"/>
              </w:rPr>
              <w:t>分)</w:t>
            </w:r>
          </w:p>
        </w:tc>
        <w:tc>
          <w:tcPr>
            <w:tcW w:w="7088" w:type="dxa"/>
          </w:tcPr>
          <w:p w14:paraId="10B4E427" w14:textId="77777777" w:rsidR="00E81B28" w:rsidRPr="00C126BA" w:rsidRDefault="00E81B28" w:rsidP="00E81B28">
            <w:pPr>
              <w:pStyle w:val="a4"/>
              <w:numPr>
                <w:ilvl w:val="0"/>
                <w:numId w:val="2"/>
              </w:numPr>
              <w:ind w:leftChars="0"/>
              <w:jc w:val="both"/>
              <w:rPr>
                <w:rFonts w:ascii="標楷體" w:eastAsia="標楷體" w:hAnsi="標楷體"/>
                <w:sz w:val="26"/>
                <w:szCs w:val="26"/>
              </w:rPr>
            </w:pPr>
            <w:r w:rsidRPr="00C126BA">
              <w:rPr>
                <w:rFonts w:ascii="標楷體" w:eastAsia="標楷體" w:hAnsi="標楷體" w:hint="eastAsia"/>
                <w:sz w:val="26"/>
                <w:szCs w:val="26"/>
              </w:rPr>
              <w:t>財務狀況：</w:t>
            </w:r>
          </w:p>
          <w:p w14:paraId="06A16DF5" w14:textId="77777777" w:rsidR="00E81B28" w:rsidRPr="00C126BA" w:rsidRDefault="00E81B28" w:rsidP="00C702CA">
            <w:pPr>
              <w:pStyle w:val="a4"/>
              <w:numPr>
                <w:ilvl w:val="1"/>
                <w:numId w:val="3"/>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最近二年之預、決算表、資產負債表(損益表)。</w:t>
            </w:r>
          </w:p>
          <w:p w14:paraId="7A0415E9" w14:textId="77777777" w:rsidR="00E81B28" w:rsidRPr="00C126BA" w:rsidRDefault="00E81B28" w:rsidP="00C702CA">
            <w:pPr>
              <w:pStyle w:val="a4"/>
              <w:numPr>
                <w:ilvl w:val="1"/>
                <w:numId w:val="3"/>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現金流量表、自籌款證明</w:t>
            </w:r>
            <w:r w:rsidRPr="00C126BA">
              <w:rPr>
                <w:rFonts w:ascii="標楷體" w:eastAsia="標楷體" w:hAnsi="標楷體"/>
                <w:sz w:val="26"/>
                <w:szCs w:val="26"/>
              </w:rPr>
              <w:t>、</w:t>
            </w:r>
            <w:r w:rsidRPr="00C126BA">
              <w:rPr>
                <w:rFonts w:ascii="標楷體" w:eastAsia="標楷體" w:hAnsi="標楷體" w:hint="eastAsia"/>
                <w:sz w:val="26"/>
                <w:szCs w:val="26"/>
              </w:rPr>
              <w:t>財產管理。</w:t>
            </w:r>
          </w:p>
          <w:p w14:paraId="09C9778B" w14:textId="77777777" w:rsidR="00E81B28" w:rsidRPr="00C126BA" w:rsidRDefault="00E81B28" w:rsidP="00E81B28">
            <w:pPr>
              <w:pStyle w:val="a4"/>
              <w:numPr>
                <w:ilvl w:val="0"/>
                <w:numId w:val="2"/>
              </w:numPr>
              <w:ind w:leftChars="0"/>
              <w:jc w:val="both"/>
              <w:rPr>
                <w:rFonts w:ascii="標楷體" w:eastAsia="標楷體" w:hAnsi="標楷體"/>
                <w:sz w:val="26"/>
                <w:szCs w:val="26"/>
              </w:rPr>
            </w:pPr>
            <w:r w:rsidRPr="00C126BA">
              <w:rPr>
                <w:rFonts w:ascii="標楷體" w:eastAsia="標楷體" w:hAnsi="標楷體" w:hint="eastAsia"/>
                <w:sz w:val="26"/>
                <w:szCs w:val="26"/>
              </w:rPr>
              <w:t>經費來源(籌措方式與能力)：</w:t>
            </w:r>
          </w:p>
          <w:p w14:paraId="10FBD88E" w14:textId="77777777" w:rsidR="00E81B28" w:rsidRPr="00C126BA" w:rsidRDefault="00E81B28" w:rsidP="00C702CA">
            <w:pPr>
              <w:pStyle w:val="a4"/>
              <w:numPr>
                <w:ilvl w:val="0"/>
                <w:numId w:val="18"/>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經費來源正當性與穩定性。</w:t>
            </w:r>
          </w:p>
          <w:p w14:paraId="28AF76E3" w14:textId="77777777" w:rsidR="00E81B28" w:rsidRPr="00C126BA" w:rsidRDefault="00E81B28" w:rsidP="00C702CA">
            <w:pPr>
              <w:pStyle w:val="a4"/>
              <w:numPr>
                <w:ilvl w:val="0"/>
                <w:numId w:val="18"/>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捐款及徵信狀況、會計查核情形。</w:t>
            </w:r>
          </w:p>
          <w:p w14:paraId="6E7097E3" w14:textId="77777777" w:rsidR="00E81B28" w:rsidRPr="00C126BA" w:rsidRDefault="00E81B28" w:rsidP="00274CEB">
            <w:pPr>
              <w:pStyle w:val="a4"/>
              <w:numPr>
                <w:ilvl w:val="0"/>
                <w:numId w:val="2"/>
              </w:numPr>
              <w:ind w:leftChars="0"/>
              <w:jc w:val="both"/>
              <w:rPr>
                <w:rFonts w:ascii="標楷體" w:eastAsia="標楷體" w:hAnsi="標楷體"/>
              </w:rPr>
            </w:pPr>
            <w:r w:rsidRPr="00C126BA">
              <w:rPr>
                <w:rFonts w:ascii="標楷體" w:eastAsia="標楷體" w:hAnsi="標楷體" w:hint="eastAsia"/>
                <w:sz w:val="26"/>
                <w:szCs w:val="26"/>
              </w:rPr>
              <w:t>本計畫之預算編列</w:t>
            </w:r>
            <w:r w:rsidRPr="00C126BA">
              <w:rPr>
                <w:rFonts w:ascii="標楷體" w:eastAsia="標楷體" w:hAnsi="標楷體"/>
                <w:sz w:val="26"/>
                <w:szCs w:val="26"/>
              </w:rPr>
              <w:t>設施設備經費概算表</w:t>
            </w:r>
            <w:r w:rsidRPr="00C126BA">
              <w:rPr>
                <w:rFonts w:ascii="標楷體" w:eastAsia="標楷體" w:hAnsi="標楷體" w:hint="eastAsia"/>
                <w:sz w:val="26"/>
                <w:szCs w:val="26"/>
              </w:rPr>
              <w:t>(</w:t>
            </w:r>
            <w:r w:rsidRPr="00C126BA">
              <w:rPr>
                <w:rFonts w:ascii="標楷體" w:eastAsia="標楷體" w:hAnsi="標楷體"/>
                <w:sz w:val="26"/>
                <w:szCs w:val="26"/>
              </w:rPr>
              <w:t>請列申請獎助及自籌的項目)</w:t>
            </w:r>
            <w:r w:rsidRPr="00C126BA">
              <w:rPr>
                <w:rFonts w:ascii="標楷體" w:eastAsia="標楷體" w:hAnsi="標楷體" w:hint="eastAsia"/>
                <w:sz w:val="26"/>
                <w:szCs w:val="26"/>
              </w:rPr>
              <w:t>。</w:t>
            </w:r>
          </w:p>
        </w:tc>
        <w:tc>
          <w:tcPr>
            <w:tcW w:w="797" w:type="dxa"/>
          </w:tcPr>
          <w:p w14:paraId="707FCCDC" w14:textId="77777777" w:rsidR="00E81B28" w:rsidRPr="00C126BA" w:rsidRDefault="00E81B28">
            <w:pPr>
              <w:rPr>
                <w:rFonts w:ascii="標楷體" w:eastAsia="標楷體" w:hAnsi="標楷體"/>
              </w:rPr>
            </w:pPr>
          </w:p>
        </w:tc>
      </w:tr>
      <w:tr w:rsidR="005836A0" w:rsidRPr="005836A0" w14:paraId="4058B5B6" w14:textId="77777777" w:rsidTr="0056367B">
        <w:trPr>
          <w:trHeight w:val="375"/>
        </w:trPr>
        <w:tc>
          <w:tcPr>
            <w:tcW w:w="1809" w:type="dxa"/>
          </w:tcPr>
          <w:p w14:paraId="2AE796A8" w14:textId="77777777" w:rsidR="00C702CA" w:rsidRPr="00C126BA" w:rsidRDefault="00C702CA" w:rsidP="00C702CA">
            <w:pPr>
              <w:jc w:val="center"/>
              <w:rPr>
                <w:rFonts w:ascii="標楷體" w:eastAsia="標楷體" w:hAnsi="標楷體"/>
                <w:sz w:val="26"/>
                <w:szCs w:val="26"/>
              </w:rPr>
            </w:pPr>
            <w:r w:rsidRPr="00C126BA">
              <w:rPr>
                <w:rFonts w:ascii="標楷體" w:eastAsia="標楷體" w:hAnsi="標楷體" w:hint="eastAsia"/>
                <w:sz w:val="26"/>
                <w:szCs w:val="26"/>
              </w:rPr>
              <w:t>過往實績</w:t>
            </w:r>
          </w:p>
          <w:p w14:paraId="118B6EFF" w14:textId="77777777" w:rsidR="00C702CA" w:rsidRPr="00C126BA" w:rsidRDefault="00C702CA" w:rsidP="00C702CA">
            <w:pPr>
              <w:jc w:val="center"/>
              <w:rPr>
                <w:rFonts w:ascii="標楷體" w:eastAsia="標楷體" w:hAnsi="標楷體"/>
              </w:rPr>
            </w:pPr>
            <w:r w:rsidRPr="00C126BA">
              <w:rPr>
                <w:rFonts w:ascii="標楷體" w:eastAsia="標楷體" w:hAnsi="標楷體" w:hint="eastAsia"/>
                <w:szCs w:val="26"/>
              </w:rPr>
              <w:t>(</w:t>
            </w:r>
            <w:r w:rsidR="005836A0" w:rsidRPr="00C126BA">
              <w:rPr>
                <w:rFonts w:ascii="標楷體" w:eastAsia="標楷體" w:hAnsi="標楷體" w:hint="eastAsia"/>
                <w:szCs w:val="26"/>
              </w:rPr>
              <w:t>35</w:t>
            </w:r>
            <w:r w:rsidRPr="00C126BA">
              <w:rPr>
                <w:rFonts w:ascii="標楷體" w:eastAsia="標楷體" w:hAnsi="標楷體" w:hint="eastAsia"/>
                <w:szCs w:val="26"/>
              </w:rPr>
              <w:t>分)</w:t>
            </w:r>
          </w:p>
        </w:tc>
        <w:tc>
          <w:tcPr>
            <w:tcW w:w="7088" w:type="dxa"/>
          </w:tcPr>
          <w:p w14:paraId="2D2DD673" w14:textId="77777777" w:rsidR="00C702CA" w:rsidRPr="00C126BA" w:rsidRDefault="00C702CA" w:rsidP="00C702CA">
            <w:pPr>
              <w:pStyle w:val="a4"/>
              <w:numPr>
                <w:ilvl w:val="0"/>
                <w:numId w:val="10"/>
              </w:numPr>
              <w:ind w:leftChars="0"/>
              <w:jc w:val="both"/>
              <w:rPr>
                <w:rFonts w:ascii="標楷體" w:eastAsia="標楷體" w:hAnsi="標楷體"/>
                <w:sz w:val="26"/>
                <w:szCs w:val="26"/>
              </w:rPr>
            </w:pPr>
            <w:r w:rsidRPr="00C126BA">
              <w:rPr>
                <w:rFonts w:ascii="標楷體" w:eastAsia="標楷體" w:hAnsi="標楷體" w:hint="eastAsia"/>
                <w:sz w:val="26"/>
                <w:szCs w:val="26"/>
              </w:rPr>
              <w:t>營造復能環境，規劃</w:t>
            </w:r>
            <w:r w:rsidRPr="00C126BA">
              <w:rPr>
                <w:rFonts w:ascii="標楷體" w:eastAsia="標楷體" w:hAnsi="標楷體" w:hint="eastAsia"/>
                <w:sz w:val="26"/>
                <w:szCs w:val="26"/>
                <w:u w:val="single"/>
              </w:rPr>
              <w:t>日常</w:t>
            </w:r>
            <w:r w:rsidRPr="00C126BA">
              <w:rPr>
                <w:rFonts w:ascii="標楷體" w:eastAsia="標楷體" w:hAnsi="標楷體" w:hint="eastAsia"/>
                <w:sz w:val="26"/>
                <w:szCs w:val="26"/>
              </w:rPr>
              <w:t>生活所</w:t>
            </w:r>
            <w:r w:rsidRPr="00C126BA">
              <w:rPr>
                <w:rFonts w:ascii="標楷體" w:eastAsia="標楷體" w:hAnsi="標楷體" w:hint="eastAsia"/>
                <w:sz w:val="26"/>
                <w:szCs w:val="26"/>
                <w:u w:val="single"/>
              </w:rPr>
              <w:t>須</w:t>
            </w:r>
            <w:r w:rsidRPr="00C126BA">
              <w:rPr>
                <w:rFonts w:ascii="標楷體" w:eastAsia="標楷體" w:hAnsi="標楷體" w:hint="eastAsia"/>
                <w:sz w:val="26"/>
                <w:szCs w:val="26"/>
              </w:rPr>
              <w:t>輔具</w:t>
            </w:r>
            <w:r w:rsidRPr="00C126BA">
              <w:rPr>
                <w:rFonts w:ascii="標楷體" w:eastAsia="標楷體" w:hAnsi="標楷體" w:hint="eastAsia"/>
                <w:sz w:val="26"/>
                <w:szCs w:val="26"/>
                <w:u w:val="single"/>
              </w:rPr>
              <w:t>及環境改造措施</w:t>
            </w:r>
            <w:r w:rsidRPr="00C126BA">
              <w:rPr>
                <w:rFonts w:ascii="標楷體" w:eastAsia="標楷體" w:hAnsi="標楷體" w:hint="eastAsia"/>
                <w:sz w:val="26"/>
                <w:szCs w:val="26"/>
              </w:rPr>
              <w:t>，以協助</w:t>
            </w:r>
            <w:r w:rsidRPr="00C126BA">
              <w:rPr>
                <w:rFonts w:ascii="標楷體" w:eastAsia="標楷體" w:hAnsi="標楷體" w:hint="eastAsia"/>
                <w:sz w:val="26"/>
                <w:szCs w:val="26"/>
                <w:u w:val="single"/>
              </w:rPr>
              <w:t>失能/失智者</w:t>
            </w:r>
            <w:r w:rsidRPr="00C126BA">
              <w:rPr>
                <w:rFonts w:ascii="標楷體" w:eastAsia="標楷體" w:hAnsi="標楷體" w:hint="eastAsia"/>
                <w:sz w:val="26"/>
                <w:szCs w:val="26"/>
              </w:rPr>
              <w:t>獨立生活：</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9</w:t>
            </w:r>
            <w:r w:rsidRPr="00C126BA">
              <w:rPr>
                <w:rFonts w:ascii="標楷體" w:eastAsia="標楷體" w:hAnsi="標楷體" w:hint="eastAsia"/>
                <w:sz w:val="26"/>
                <w:szCs w:val="26"/>
                <w:u w:val="single"/>
              </w:rPr>
              <w:t>分)</w:t>
            </w:r>
          </w:p>
          <w:p w14:paraId="5288BAE4" w14:textId="77777777" w:rsidR="00C702CA" w:rsidRPr="00C126BA" w:rsidRDefault="00C702CA" w:rsidP="00C702CA">
            <w:pPr>
              <w:pStyle w:val="a4"/>
              <w:numPr>
                <w:ilvl w:val="0"/>
                <w:numId w:val="11"/>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行動輔具：四腳拐、助行器、輪椅等。</w:t>
            </w:r>
          </w:p>
          <w:p w14:paraId="627690BF" w14:textId="77777777" w:rsidR="00C702CA" w:rsidRPr="00C126BA" w:rsidRDefault="00C702CA" w:rsidP="00C702CA">
            <w:pPr>
              <w:pStyle w:val="a4"/>
              <w:numPr>
                <w:ilvl w:val="0"/>
                <w:numId w:val="11"/>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環境輔具：</w:t>
            </w:r>
          </w:p>
          <w:p w14:paraId="799BDA02" w14:textId="77777777" w:rsidR="00C702CA" w:rsidRPr="00C126BA" w:rsidRDefault="00C702CA" w:rsidP="00C702CA">
            <w:pPr>
              <w:pStyle w:val="a4"/>
              <w:numPr>
                <w:ilvl w:val="2"/>
                <w:numId w:val="6"/>
              </w:numPr>
              <w:ind w:leftChars="0" w:left="1310" w:hanging="567"/>
              <w:jc w:val="both"/>
              <w:rPr>
                <w:rFonts w:ascii="標楷體" w:eastAsia="標楷體" w:hAnsi="標楷體"/>
                <w:sz w:val="26"/>
                <w:szCs w:val="26"/>
              </w:rPr>
            </w:pPr>
            <w:r w:rsidRPr="00C126BA">
              <w:rPr>
                <w:rFonts w:ascii="標楷體" w:eastAsia="標楷體" w:hAnsi="標楷體" w:hint="eastAsia"/>
                <w:sz w:val="26"/>
                <w:szCs w:val="26"/>
              </w:rPr>
              <w:t>用餐區域之桌椅：桌椅高度符合失能者需求，例如座椅可調整高度、不易滑動、座椅扶手協助起身、桌子可容納乘坐輪椅失能者使用。</w:t>
            </w:r>
          </w:p>
          <w:p w14:paraId="6B076AC5" w14:textId="77777777" w:rsidR="00C702CA" w:rsidRPr="00C126BA" w:rsidRDefault="00C702CA" w:rsidP="00C702CA">
            <w:pPr>
              <w:pStyle w:val="a4"/>
              <w:numPr>
                <w:ilvl w:val="2"/>
                <w:numId w:val="6"/>
              </w:numPr>
              <w:ind w:leftChars="0" w:left="1310" w:hanging="567"/>
              <w:jc w:val="both"/>
              <w:rPr>
                <w:rFonts w:ascii="標楷體" w:eastAsia="標楷體" w:hAnsi="標楷體"/>
                <w:sz w:val="26"/>
                <w:szCs w:val="26"/>
              </w:rPr>
            </w:pPr>
            <w:r w:rsidRPr="00C126BA">
              <w:rPr>
                <w:rFonts w:ascii="標楷體" w:eastAsia="標楷體" w:hAnsi="標楷體" w:hint="eastAsia"/>
                <w:sz w:val="26"/>
                <w:szCs w:val="26"/>
              </w:rPr>
              <w:t>浴廁設備：沐浴椅或便盆椅、地板防滑措施、扶手(浴室、馬桶、小便斗及洗手台)等。</w:t>
            </w:r>
          </w:p>
          <w:p w14:paraId="16980513" w14:textId="77777777" w:rsidR="00C702CA" w:rsidRPr="00C126BA" w:rsidRDefault="00C702CA" w:rsidP="00C702CA">
            <w:pPr>
              <w:pStyle w:val="a4"/>
              <w:numPr>
                <w:ilvl w:val="0"/>
                <w:numId w:val="11"/>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個人照顧及餐食輔具：鈕扣勾出器/拉鍊幫手、洗髮輔助刷、洗背刷、洗腳刷、如廁擦拭輔助器、擠牙膏器、握筷輔助器、可彎曲湯匙(叉子)、弧形盤、斜口杯、雙把手杯、防滑墊、防滑碗座、單向吸管、安全矽膠圍兜等。</w:t>
            </w:r>
          </w:p>
          <w:p w14:paraId="610766F8" w14:textId="77777777" w:rsidR="00C702CA" w:rsidRPr="00C126BA" w:rsidRDefault="00C702CA" w:rsidP="00C702CA">
            <w:pPr>
              <w:pStyle w:val="a4"/>
              <w:numPr>
                <w:ilvl w:val="0"/>
                <w:numId w:val="10"/>
              </w:numPr>
              <w:ind w:leftChars="0"/>
              <w:jc w:val="both"/>
              <w:rPr>
                <w:rFonts w:ascii="標楷體" w:eastAsia="標楷體" w:hAnsi="標楷體"/>
                <w:sz w:val="26"/>
                <w:szCs w:val="26"/>
              </w:rPr>
            </w:pPr>
            <w:r w:rsidRPr="00C126BA">
              <w:rPr>
                <w:rFonts w:ascii="標楷體" w:eastAsia="標楷體" w:hAnsi="標楷體" w:hint="eastAsia"/>
                <w:sz w:val="26"/>
                <w:szCs w:val="26"/>
              </w:rPr>
              <w:t>復能計畫規劃及執行能力：</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15</w:t>
            </w:r>
            <w:r w:rsidRPr="00C126BA">
              <w:rPr>
                <w:rFonts w:ascii="標楷體" w:eastAsia="標楷體" w:hAnsi="標楷體" w:hint="eastAsia"/>
                <w:sz w:val="26"/>
                <w:szCs w:val="26"/>
                <w:u w:val="single"/>
              </w:rPr>
              <w:t>分)</w:t>
            </w:r>
          </w:p>
          <w:p w14:paraId="7406135B" w14:textId="77777777" w:rsidR="00C702CA" w:rsidRPr="00C126BA" w:rsidRDefault="00C702CA" w:rsidP="00C702CA">
            <w:pPr>
              <w:pStyle w:val="a4"/>
              <w:numPr>
                <w:ilvl w:val="0"/>
                <w:numId w:val="12"/>
              </w:numPr>
              <w:ind w:leftChars="0"/>
              <w:jc w:val="both"/>
              <w:rPr>
                <w:rFonts w:ascii="標楷體" w:eastAsia="標楷體" w:hAnsi="標楷體"/>
                <w:sz w:val="26"/>
                <w:szCs w:val="26"/>
              </w:rPr>
            </w:pPr>
            <w:r w:rsidRPr="00C126BA">
              <w:rPr>
                <w:rFonts w:ascii="標楷體" w:eastAsia="標楷體" w:hAnsi="標楷體" w:hint="eastAsia"/>
                <w:sz w:val="26"/>
                <w:szCs w:val="26"/>
              </w:rPr>
              <w:t>人員資格：特約至少1位職能或物理治療人員，且已完成衛生局日照復能工作坊訓練並具長照實務經驗。</w:t>
            </w:r>
          </w:p>
          <w:p w14:paraId="28216D0A" w14:textId="77777777" w:rsidR="00C702CA" w:rsidRPr="00C126BA" w:rsidRDefault="00C702CA" w:rsidP="00C702CA">
            <w:pPr>
              <w:pStyle w:val="a4"/>
              <w:numPr>
                <w:ilvl w:val="0"/>
                <w:numId w:val="12"/>
              </w:numPr>
              <w:ind w:leftChars="0"/>
              <w:jc w:val="both"/>
              <w:rPr>
                <w:rFonts w:ascii="標楷體" w:eastAsia="標楷體" w:hAnsi="標楷體"/>
                <w:sz w:val="26"/>
                <w:szCs w:val="26"/>
              </w:rPr>
            </w:pPr>
            <w:r w:rsidRPr="00C126BA">
              <w:rPr>
                <w:rFonts w:ascii="標楷體" w:eastAsia="標楷體" w:hAnsi="標楷體" w:hint="eastAsia"/>
                <w:sz w:val="26"/>
                <w:szCs w:val="26"/>
              </w:rPr>
              <w:t>治療人員評估能力：治療人員可運用復能目標達成評估表(Goal Attainment Scale, GAS)評估個案及設定復能目標。</w:t>
            </w:r>
          </w:p>
          <w:p w14:paraId="2560F087" w14:textId="77777777" w:rsidR="00C702CA" w:rsidRPr="00C126BA" w:rsidRDefault="00C702CA" w:rsidP="00C702CA">
            <w:pPr>
              <w:pStyle w:val="a4"/>
              <w:numPr>
                <w:ilvl w:val="0"/>
                <w:numId w:val="12"/>
              </w:numPr>
              <w:ind w:leftChars="0"/>
              <w:jc w:val="both"/>
              <w:rPr>
                <w:rFonts w:ascii="標楷體" w:eastAsia="標楷體" w:hAnsi="標楷體"/>
                <w:sz w:val="26"/>
                <w:szCs w:val="26"/>
              </w:rPr>
            </w:pPr>
            <w:r w:rsidRPr="00C126BA">
              <w:rPr>
                <w:rFonts w:ascii="標楷體" w:eastAsia="標楷體" w:hAnsi="標楷體" w:hint="eastAsia"/>
                <w:sz w:val="26"/>
                <w:szCs w:val="26"/>
              </w:rPr>
              <w:t>復能活動設計能力：治療人員有能力設計每日團體基礎復能活動，另針對復能潛能個案規劃個別化復能訓練。</w:t>
            </w:r>
          </w:p>
          <w:p w14:paraId="12F820FF" w14:textId="77777777" w:rsidR="00C702CA" w:rsidRPr="00C126BA" w:rsidRDefault="00C702CA" w:rsidP="00C702CA">
            <w:pPr>
              <w:pStyle w:val="a4"/>
              <w:numPr>
                <w:ilvl w:val="0"/>
                <w:numId w:val="12"/>
              </w:numPr>
              <w:ind w:leftChars="0"/>
              <w:jc w:val="both"/>
              <w:rPr>
                <w:rFonts w:ascii="標楷體" w:eastAsia="標楷體" w:hAnsi="標楷體"/>
                <w:sz w:val="26"/>
                <w:szCs w:val="26"/>
              </w:rPr>
            </w:pPr>
            <w:r w:rsidRPr="00C126BA">
              <w:rPr>
                <w:rFonts w:ascii="標楷體" w:eastAsia="標楷體" w:hAnsi="標楷體" w:hint="eastAsia"/>
                <w:sz w:val="26"/>
                <w:szCs w:val="26"/>
              </w:rPr>
              <w:t>指導照服員能力：治療人員具備與照顧服務員實際執</w:t>
            </w:r>
            <w:r w:rsidRPr="00C126BA">
              <w:rPr>
                <w:rFonts w:ascii="標楷體" w:eastAsia="標楷體" w:hAnsi="標楷體" w:hint="eastAsia"/>
                <w:sz w:val="26"/>
                <w:szCs w:val="26"/>
              </w:rPr>
              <w:lastRenderedPageBreak/>
              <w:t>行長照復能實務經驗。</w:t>
            </w:r>
          </w:p>
          <w:p w14:paraId="541681B8" w14:textId="77777777" w:rsidR="00C702CA" w:rsidRPr="00C126BA" w:rsidRDefault="00C702CA" w:rsidP="00C702CA">
            <w:pPr>
              <w:pStyle w:val="a4"/>
              <w:numPr>
                <w:ilvl w:val="0"/>
                <w:numId w:val="10"/>
              </w:numPr>
              <w:ind w:leftChars="0"/>
              <w:jc w:val="both"/>
              <w:rPr>
                <w:rFonts w:ascii="標楷體" w:eastAsia="標楷體" w:hAnsi="標楷體"/>
              </w:rPr>
            </w:pPr>
            <w:r w:rsidRPr="00C126BA">
              <w:rPr>
                <w:rFonts w:ascii="標楷體" w:eastAsia="標楷體" w:hAnsi="標楷體" w:hint="eastAsia"/>
                <w:sz w:val="26"/>
                <w:szCs w:val="26"/>
              </w:rPr>
              <w:t>最近3年實務經驗與在地服務績效：</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5</w:t>
            </w:r>
            <w:r w:rsidRPr="00C126BA">
              <w:rPr>
                <w:rFonts w:ascii="標楷體" w:eastAsia="標楷體" w:hAnsi="標楷體" w:hint="eastAsia"/>
                <w:sz w:val="26"/>
                <w:szCs w:val="26"/>
                <w:u w:val="single"/>
              </w:rPr>
              <w:t>分)</w:t>
            </w:r>
          </w:p>
          <w:p w14:paraId="7E7B5AB0" w14:textId="77777777" w:rsidR="00C702CA" w:rsidRPr="00C126BA" w:rsidRDefault="00C702CA" w:rsidP="00C702CA">
            <w:pPr>
              <w:pStyle w:val="a4"/>
              <w:numPr>
                <w:ilvl w:val="0"/>
                <w:numId w:val="5"/>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現有家數(公有場地、私有場地)、各日照核准收案人數/目前服務人數，取得設立滿1年收托率應達80%。</w:t>
            </w:r>
          </w:p>
          <w:p w14:paraId="5D5312E3" w14:textId="77777777" w:rsidR="00C702CA" w:rsidRPr="00C126BA" w:rsidRDefault="00C702CA" w:rsidP="00C702CA">
            <w:pPr>
              <w:pStyle w:val="a4"/>
              <w:numPr>
                <w:ilvl w:val="0"/>
                <w:numId w:val="5"/>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服務內容提供：</w:t>
            </w:r>
          </w:p>
          <w:p w14:paraId="57087F88" w14:textId="77777777" w:rsidR="00C702CA" w:rsidRPr="00C126BA" w:rsidRDefault="00C702CA" w:rsidP="00C702CA">
            <w:pPr>
              <w:pStyle w:val="a4"/>
              <w:numPr>
                <w:ilvl w:val="0"/>
                <w:numId w:val="4"/>
              </w:numPr>
              <w:ind w:leftChars="266" w:left="921" w:hanging="283"/>
              <w:jc w:val="both"/>
              <w:rPr>
                <w:rFonts w:ascii="標楷體" w:eastAsia="標楷體" w:hAnsi="標楷體"/>
                <w:sz w:val="26"/>
                <w:szCs w:val="26"/>
              </w:rPr>
            </w:pPr>
            <w:r w:rsidRPr="00C126BA">
              <w:rPr>
                <w:rFonts w:ascii="標楷體" w:eastAsia="標楷體" w:hAnsi="標楷體" w:hint="eastAsia"/>
                <w:sz w:val="26"/>
                <w:szCs w:val="26"/>
              </w:rPr>
              <w:t>社區式協助沐浴、社區式晚餐各項服務使用率需大於30%。(使用人數/核定人數*100%)</w:t>
            </w:r>
          </w:p>
          <w:p w14:paraId="7C1161EA" w14:textId="77777777" w:rsidR="00C702CA" w:rsidRPr="00C126BA" w:rsidRDefault="00C702CA" w:rsidP="00C702CA">
            <w:pPr>
              <w:pStyle w:val="a4"/>
              <w:numPr>
                <w:ilvl w:val="0"/>
                <w:numId w:val="4"/>
              </w:numPr>
              <w:ind w:leftChars="266" w:left="921" w:hanging="283"/>
              <w:jc w:val="both"/>
              <w:rPr>
                <w:rFonts w:ascii="標楷體" w:eastAsia="標楷體" w:hAnsi="標楷體"/>
                <w:sz w:val="26"/>
                <w:szCs w:val="26"/>
              </w:rPr>
            </w:pPr>
            <w:r w:rsidRPr="00C126BA">
              <w:rPr>
                <w:rFonts w:ascii="標楷體" w:eastAsia="標楷體" w:hAnsi="標楷體" w:hint="eastAsia"/>
                <w:sz w:val="26"/>
                <w:szCs w:val="26"/>
              </w:rPr>
              <w:t>針對具慢性病之個案做個別化管理(健康監測、營養餐飲及藥事等)，並召集各專業人員藉由跨專業討論會方式訂定個別化照護計畫實案分享。</w:t>
            </w:r>
          </w:p>
          <w:p w14:paraId="41E64239" w14:textId="77777777" w:rsidR="00C702CA" w:rsidRPr="00C126BA" w:rsidRDefault="00C702CA" w:rsidP="00C702CA">
            <w:pPr>
              <w:pStyle w:val="a4"/>
              <w:numPr>
                <w:ilvl w:val="0"/>
                <w:numId w:val="10"/>
              </w:numPr>
              <w:ind w:leftChars="0"/>
              <w:jc w:val="both"/>
              <w:rPr>
                <w:rFonts w:ascii="標楷體" w:eastAsia="標楷體" w:hAnsi="標楷體"/>
                <w:sz w:val="26"/>
                <w:szCs w:val="26"/>
              </w:rPr>
            </w:pPr>
            <w:r w:rsidRPr="00C126BA">
              <w:rPr>
                <w:rFonts w:ascii="標楷體" w:eastAsia="標楷體" w:hAnsi="標楷體" w:hint="eastAsia"/>
                <w:sz w:val="26"/>
                <w:szCs w:val="26"/>
              </w:rPr>
              <w:t>空間使用計畫：</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4</w:t>
            </w:r>
            <w:r w:rsidRPr="00C126BA">
              <w:rPr>
                <w:rFonts w:ascii="標楷體" w:eastAsia="標楷體" w:hAnsi="標楷體" w:hint="eastAsia"/>
                <w:sz w:val="26"/>
                <w:szCs w:val="26"/>
                <w:u w:val="single"/>
              </w:rPr>
              <w:t>分)</w:t>
            </w:r>
          </w:p>
          <w:p w14:paraId="3987540F" w14:textId="77777777" w:rsidR="00C702CA" w:rsidRPr="00C126BA" w:rsidRDefault="00C702CA" w:rsidP="00C702CA">
            <w:pPr>
              <w:pStyle w:val="a4"/>
              <w:numPr>
                <w:ilvl w:val="0"/>
                <w:numId w:val="13"/>
              </w:numPr>
              <w:ind w:leftChars="0"/>
              <w:jc w:val="both"/>
              <w:rPr>
                <w:rFonts w:ascii="標楷體" w:eastAsia="標楷體" w:hAnsi="標楷體"/>
                <w:sz w:val="26"/>
                <w:szCs w:val="26"/>
              </w:rPr>
            </w:pPr>
            <w:r w:rsidRPr="00C126BA">
              <w:rPr>
                <w:rFonts w:ascii="標楷體" w:eastAsia="標楷體" w:hAnsi="標楷體" w:hint="eastAsia"/>
                <w:sz w:val="26"/>
                <w:szCs w:val="26"/>
              </w:rPr>
              <w:t>具空間規劃能力：依法規規劃單元照顧模式，劃分復能區域(平均0.5坪/人)、日常活動區(平均4</w:t>
            </w:r>
            <w:r w:rsidRPr="00C126BA">
              <w:rPr>
                <w:rFonts w:ascii="標楷體" w:eastAsia="標楷體" w:hAnsi="標楷體"/>
                <w:sz w:val="26"/>
                <w:szCs w:val="26"/>
              </w:rPr>
              <w:t>㎡/人</w:t>
            </w:r>
            <w:r w:rsidRPr="00C126BA">
              <w:rPr>
                <w:rFonts w:ascii="標楷體" w:eastAsia="標楷體" w:hAnsi="標楷體" w:hint="eastAsia"/>
                <w:sz w:val="26"/>
                <w:szCs w:val="26"/>
              </w:rPr>
              <w:t>)、廚房、休憩區等。</w:t>
            </w:r>
          </w:p>
          <w:p w14:paraId="17B084A4" w14:textId="77777777" w:rsidR="00C702CA" w:rsidRPr="00C126BA" w:rsidRDefault="00C702CA" w:rsidP="00C702CA">
            <w:pPr>
              <w:pStyle w:val="a4"/>
              <w:numPr>
                <w:ilvl w:val="0"/>
                <w:numId w:val="13"/>
              </w:numPr>
              <w:ind w:leftChars="0"/>
              <w:jc w:val="both"/>
              <w:rPr>
                <w:rFonts w:ascii="標楷體" w:eastAsia="標楷體" w:hAnsi="標楷體"/>
                <w:sz w:val="26"/>
                <w:szCs w:val="26"/>
              </w:rPr>
            </w:pPr>
            <w:r w:rsidRPr="00C126BA">
              <w:rPr>
                <w:rFonts w:ascii="標楷體" w:eastAsia="標楷體" w:hAnsi="標楷體" w:hint="eastAsia"/>
                <w:sz w:val="26"/>
                <w:szCs w:val="26"/>
              </w:rPr>
              <w:t>營造友善失智者環境能力：減少容易導致跌倒受傷的環境(如光滑或反光地板、易滑動小地毯、家具銳角)、牆壁和地面避免眼花撩亂的圖樣、減少令人不安噪音干擾等。</w:t>
            </w:r>
          </w:p>
          <w:p w14:paraId="69DD3C1A" w14:textId="77777777" w:rsidR="00C702CA" w:rsidRPr="00C126BA" w:rsidRDefault="00C702CA" w:rsidP="00C702CA">
            <w:pPr>
              <w:pStyle w:val="a4"/>
              <w:numPr>
                <w:ilvl w:val="0"/>
                <w:numId w:val="10"/>
              </w:numPr>
              <w:ind w:leftChars="0"/>
              <w:jc w:val="both"/>
              <w:rPr>
                <w:rFonts w:ascii="標楷體" w:eastAsia="標楷體" w:hAnsi="標楷體"/>
                <w:sz w:val="26"/>
                <w:szCs w:val="26"/>
              </w:rPr>
            </w:pPr>
            <w:r w:rsidRPr="00C126BA">
              <w:rPr>
                <w:rFonts w:ascii="標楷體" w:eastAsia="標楷體" w:hAnsi="標楷體"/>
                <w:sz w:val="26"/>
                <w:szCs w:val="26"/>
              </w:rPr>
              <w:t>創新照顧服務方案分享：</w:t>
            </w:r>
            <w:r w:rsidRPr="00C126BA">
              <w:rPr>
                <w:rFonts w:ascii="標楷體" w:eastAsia="標楷體" w:hAnsi="標楷體"/>
                <w:sz w:val="26"/>
                <w:szCs w:val="26"/>
                <w:u w:val="single"/>
              </w:rPr>
              <w:t>(</w:t>
            </w:r>
            <w:r w:rsidR="005836A0" w:rsidRPr="00C126BA">
              <w:rPr>
                <w:rFonts w:ascii="標楷體" w:eastAsia="標楷體" w:hAnsi="標楷體"/>
                <w:sz w:val="26"/>
                <w:szCs w:val="26"/>
                <w:u w:val="single"/>
              </w:rPr>
              <w:t>2</w:t>
            </w:r>
            <w:r w:rsidRPr="00C126BA">
              <w:rPr>
                <w:rFonts w:ascii="標楷體" w:eastAsia="標楷體" w:hAnsi="標楷體"/>
                <w:sz w:val="26"/>
                <w:szCs w:val="26"/>
                <w:u w:val="single"/>
              </w:rPr>
              <w:t>分)</w:t>
            </w:r>
          </w:p>
          <w:p w14:paraId="675797F2" w14:textId="77777777" w:rsidR="00C702CA" w:rsidRPr="00C126BA" w:rsidRDefault="00C702CA" w:rsidP="00C702CA">
            <w:pPr>
              <w:pStyle w:val="a4"/>
              <w:numPr>
                <w:ilvl w:val="0"/>
                <w:numId w:val="16"/>
              </w:numPr>
              <w:ind w:leftChars="0"/>
              <w:jc w:val="both"/>
              <w:rPr>
                <w:rFonts w:ascii="標楷體" w:eastAsia="標楷體" w:hAnsi="標楷體"/>
                <w:sz w:val="26"/>
                <w:szCs w:val="26"/>
              </w:rPr>
            </w:pPr>
            <w:r w:rsidRPr="00C126BA">
              <w:rPr>
                <w:rFonts w:ascii="標楷體" w:eastAsia="標楷體" w:hAnsi="標楷體" w:hint="eastAsia"/>
                <w:sz w:val="26"/>
                <w:szCs w:val="26"/>
              </w:rPr>
              <w:t>跳脫傳統照顧模式，依個案照顧需求連結所需專業人員，發展出有別於其他日照的新照顧經驗。</w:t>
            </w:r>
          </w:p>
        </w:tc>
        <w:tc>
          <w:tcPr>
            <w:tcW w:w="797" w:type="dxa"/>
          </w:tcPr>
          <w:p w14:paraId="266D0B56" w14:textId="77777777" w:rsidR="00C702CA" w:rsidRPr="00C126BA" w:rsidRDefault="00C702CA">
            <w:pPr>
              <w:rPr>
                <w:rFonts w:ascii="標楷體" w:eastAsia="標楷體" w:hAnsi="標楷體"/>
              </w:rPr>
            </w:pPr>
          </w:p>
        </w:tc>
      </w:tr>
      <w:tr w:rsidR="005836A0" w:rsidRPr="005836A0" w14:paraId="19ACF34E" w14:textId="77777777" w:rsidTr="00DF7CB1">
        <w:trPr>
          <w:trHeight w:val="351"/>
        </w:trPr>
        <w:tc>
          <w:tcPr>
            <w:tcW w:w="1809" w:type="dxa"/>
          </w:tcPr>
          <w:p w14:paraId="263FEE4C" w14:textId="77777777" w:rsidR="00C702CA" w:rsidRPr="00C126BA" w:rsidRDefault="00C702CA" w:rsidP="00C702CA">
            <w:pPr>
              <w:jc w:val="center"/>
              <w:rPr>
                <w:rFonts w:ascii="標楷體" w:eastAsia="標楷體" w:hAnsi="標楷體"/>
                <w:sz w:val="26"/>
                <w:szCs w:val="26"/>
              </w:rPr>
            </w:pPr>
            <w:r w:rsidRPr="00C126BA">
              <w:rPr>
                <w:rFonts w:ascii="標楷體" w:eastAsia="標楷體" w:hAnsi="標楷體"/>
                <w:sz w:val="26"/>
                <w:szCs w:val="26"/>
              </w:rPr>
              <w:t>本案規劃</w:t>
            </w:r>
          </w:p>
          <w:p w14:paraId="7DA591A7" w14:textId="77777777" w:rsidR="00C702CA" w:rsidRPr="00C126BA" w:rsidRDefault="00C702CA" w:rsidP="00C702CA">
            <w:pPr>
              <w:jc w:val="center"/>
              <w:rPr>
                <w:rFonts w:ascii="標楷體" w:eastAsia="標楷體" w:hAnsi="標楷體"/>
              </w:rPr>
            </w:pPr>
            <w:r w:rsidRPr="00C126BA">
              <w:rPr>
                <w:rFonts w:ascii="標楷體" w:eastAsia="標楷體" w:hAnsi="標楷體"/>
              </w:rPr>
              <w:t>(</w:t>
            </w:r>
            <w:r w:rsidR="005836A0" w:rsidRPr="00C126BA">
              <w:rPr>
                <w:rFonts w:ascii="標楷體" w:eastAsia="標楷體" w:hAnsi="標楷體"/>
              </w:rPr>
              <w:t>25</w:t>
            </w:r>
            <w:r w:rsidRPr="00C126BA">
              <w:rPr>
                <w:rFonts w:ascii="標楷體" w:eastAsia="標楷體" w:hAnsi="標楷體"/>
              </w:rPr>
              <w:t>分)</w:t>
            </w:r>
          </w:p>
        </w:tc>
        <w:tc>
          <w:tcPr>
            <w:tcW w:w="7088" w:type="dxa"/>
          </w:tcPr>
          <w:p w14:paraId="53D1AEC6" w14:textId="77777777" w:rsidR="00C702CA" w:rsidRPr="00C126BA" w:rsidRDefault="00C702CA" w:rsidP="00C702CA">
            <w:pPr>
              <w:pStyle w:val="a4"/>
              <w:numPr>
                <w:ilvl w:val="0"/>
                <w:numId w:val="14"/>
              </w:numPr>
              <w:ind w:leftChars="0"/>
              <w:jc w:val="both"/>
              <w:rPr>
                <w:rFonts w:ascii="標楷體" w:eastAsia="標楷體" w:hAnsi="標楷體"/>
                <w:sz w:val="26"/>
                <w:szCs w:val="26"/>
              </w:rPr>
            </w:pPr>
            <w:r w:rsidRPr="00C126BA">
              <w:rPr>
                <w:rFonts w:ascii="標楷體" w:eastAsia="標楷體" w:hAnsi="標楷體" w:hint="eastAsia"/>
                <w:sz w:val="26"/>
                <w:szCs w:val="26"/>
              </w:rPr>
              <w:t>營造復能環境，規劃日常生活所須輔具及環境改造措施，以協助失能/失智者獨立生活：</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8</w:t>
            </w:r>
            <w:r w:rsidRPr="00C126BA">
              <w:rPr>
                <w:rFonts w:ascii="標楷體" w:eastAsia="標楷體" w:hAnsi="標楷體" w:hint="eastAsia"/>
                <w:sz w:val="26"/>
                <w:szCs w:val="26"/>
                <w:u w:val="single"/>
              </w:rPr>
              <w:t>分)</w:t>
            </w:r>
          </w:p>
          <w:p w14:paraId="2E2ACC8E" w14:textId="77777777" w:rsidR="00C702CA" w:rsidRPr="00C126BA" w:rsidRDefault="00C702CA" w:rsidP="00C702CA">
            <w:pPr>
              <w:pStyle w:val="a4"/>
              <w:numPr>
                <w:ilvl w:val="0"/>
                <w:numId w:val="19"/>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行動輔具：四腳拐、助行器、輪椅等。</w:t>
            </w:r>
          </w:p>
          <w:p w14:paraId="3AF62945" w14:textId="77777777" w:rsidR="00C702CA" w:rsidRPr="00C126BA" w:rsidRDefault="00C702CA" w:rsidP="00C702CA">
            <w:pPr>
              <w:pStyle w:val="a4"/>
              <w:numPr>
                <w:ilvl w:val="0"/>
                <w:numId w:val="19"/>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環境輔具：</w:t>
            </w:r>
          </w:p>
          <w:p w14:paraId="109A1310" w14:textId="77777777" w:rsidR="00C702CA" w:rsidRPr="00C126BA" w:rsidRDefault="00C702CA" w:rsidP="00C702CA">
            <w:pPr>
              <w:pStyle w:val="a4"/>
              <w:numPr>
                <w:ilvl w:val="0"/>
                <w:numId w:val="20"/>
              </w:numPr>
              <w:ind w:leftChars="0" w:left="1310" w:hanging="567"/>
              <w:jc w:val="both"/>
              <w:rPr>
                <w:rFonts w:ascii="標楷體" w:eastAsia="標楷體" w:hAnsi="標楷體"/>
                <w:sz w:val="26"/>
                <w:szCs w:val="26"/>
              </w:rPr>
            </w:pPr>
            <w:r w:rsidRPr="00C126BA">
              <w:rPr>
                <w:rFonts w:ascii="標楷體" w:eastAsia="標楷體" w:hAnsi="標楷體" w:hint="eastAsia"/>
                <w:sz w:val="26"/>
                <w:szCs w:val="26"/>
              </w:rPr>
              <w:t>用餐區域之桌椅：桌椅高度符合失能者需求，例如座椅可調整高度、不易滑動、座椅扶手協助起身、桌子可容納乘坐輪椅失能者使用。</w:t>
            </w:r>
          </w:p>
          <w:p w14:paraId="01D9FBDF" w14:textId="77777777" w:rsidR="00C702CA" w:rsidRPr="00C126BA" w:rsidRDefault="00C702CA" w:rsidP="00C702CA">
            <w:pPr>
              <w:pStyle w:val="a4"/>
              <w:numPr>
                <w:ilvl w:val="0"/>
                <w:numId w:val="20"/>
              </w:numPr>
              <w:ind w:leftChars="0" w:left="1310" w:hanging="567"/>
              <w:jc w:val="both"/>
              <w:rPr>
                <w:rFonts w:ascii="標楷體" w:eastAsia="標楷體" w:hAnsi="標楷體"/>
                <w:sz w:val="26"/>
                <w:szCs w:val="26"/>
              </w:rPr>
            </w:pPr>
            <w:r w:rsidRPr="00C126BA">
              <w:rPr>
                <w:rFonts w:ascii="標楷體" w:eastAsia="標楷體" w:hAnsi="標楷體" w:hint="eastAsia"/>
                <w:sz w:val="26"/>
                <w:szCs w:val="26"/>
              </w:rPr>
              <w:t>浴廁設備：沐浴椅或便盆椅、地板防滑措施、扶手(浴室、馬桶、小便斗及洗手台)等。</w:t>
            </w:r>
          </w:p>
          <w:p w14:paraId="22A05030" w14:textId="77777777" w:rsidR="00C702CA" w:rsidRPr="00C126BA" w:rsidRDefault="00C702CA" w:rsidP="00C702CA">
            <w:pPr>
              <w:pStyle w:val="a4"/>
              <w:numPr>
                <w:ilvl w:val="0"/>
                <w:numId w:val="19"/>
              </w:numPr>
              <w:ind w:leftChars="0" w:left="743" w:hanging="425"/>
              <w:jc w:val="both"/>
              <w:rPr>
                <w:rFonts w:ascii="標楷體" w:eastAsia="標楷體" w:hAnsi="標楷體"/>
                <w:sz w:val="26"/>
                <w:szCs w:val="26"/>
              </w:rPr>
            </w:pPr>
            <w:r w:rsidRPr="00C126BA">
              <w:rPr>
                <w:rFonts w:ascii="標楷體" w:eastAsia="標楷體" w:hAnsi="標楷體" w:hint="eastAsia"/>
                <w:sz w:val="26"/>
                <w:szCs w:val="26"/>
              </w:rPr>
              <w:t>個人照顧及餐食輔具：鈕扣勾出器/拉鍊幫手、洗髮輔助刷、洗背刷、洗腳刷、如廁擦拭輔助器、擠牙膏器、握筷輔助器、可彎曲湯匙(叉子)、弧形盤、斜口杯、雙把手杯、防滑墊、防滑碗座、單向吸管、安全矽膠圍兜等。</w:t>
            </w:r>
          </w:p>
          <w:p w14:paraId="7B31016D" w14:textId="77777777" w:rsidR="00C702CA" w:rsidRPr="00C126BA" w:rsidRDefault="00C702CA" w:rsidP="00C702CA">
            <w:pPr>
              <w:pStyle w:val="a4"/>
              <w:numPr>
                <w:ilvl w:val="0"/>
                <w:numId w:val="14"/>
              </w:numPr>
              <w:ind w:leftChars="0"/>
              <w:jc w:val="both"/>
              <w:rPr>
                <w:rFonts w:ascii="標楷體" w:eastAsia="標楷體" w:hAnsi="標楷體"/>
                <w:sz w:val="26"/>
                <w:szCs w:val="26"/>
              </w:rPr>
            </w:pPr>
            <w:r w:rsidRPr="00C126BA">
              <w:rPr>
                <w:rFonts w:ascii="標楷體" w:eastAsia="標楷體" w:hAnsi="標楷體" w:hint="eastAsia"/>
                <w:sz w:val="26"/>
                <w:szCs w:val="26"/>
              </w:rPr>
              <w:t>復能計畫規劃及執行能力：</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10</w:t>
            </w:r>
            <w:r w:rsidRPr="00C126BA">
              <w:rPr>
                <w:rFonts w:ascii="標楷體" w:eastAsia="標楷體" w:hAnsi="標楷體" w:hint="eastAsia"/>
                <w:sz w:val="26"/>
                <w:szCs w:val="26"/>
                <w:u w:val="single"/>
              </w:rPr>
              <w:t>分)</w:t>
            </w:r>
          </w:p>
          <w:p w14:paraId="2210A816" w14:textId="77777777" w:rsidR="00C702CA" w:rsidRPr="00C126BA" w:rsidRDefault="00C702CA" w:rsidP="00C702CA">
            <w:pPr>
              <w:pStyle w:val="a4"/>
              <w:numPr>
                <w:ilvl w:val="0"/>
                <w:numId w:val="15"/>
              </w:numPr>
              <w:ind w:leftChars="0"/>
              <w:jc w:val="both"/>
              <w:rPr>
                <w:rFonts w:ascii="標楷體" w:eastAsia="標楷體" w:hAnsi="標楷體"/>
                <w:sz w:val="26"/>
                <w:szCs w:val="26"/>
              </w:rPr>
            </w:pPr>
            <w:r w:rsidRPr="00C126BA">
              <w:rPr>
                <w:rFonts w:ascii="標楷體" w:eastAsia="標楷體" w:hAnsi="標楷體" w:hint="eastAsia"/>
                <w:sz w:val="26"/>
                <w:szCs w:val="26"/>
              </w:rPr>
              <w:t>人員資格：特約至少1位職能或物理治療人員，且已完成衛生局日照復能工作坊訓練並具長照實務經驗。</w:t>
            </w:r>
          </w:p>
          <w:p w14:paraId="740D26A3" w14:textId="77777777" w:rsidR="00C702CA" w:rsidRPr="00C126BA" w:rsidRDefault="00C702CA" w:rsidP="00C702CA">
            <w:pPr>
              <w:pStyle w:val="a4"/>
              <w:numPr>
                <w:ilvl w:val="0"/>
                <w:numId w:val="15"/>
              </w:numPr>
              <w:ind w:leftChars="0"/>
              <w:jc w:val="both"/>
              <w:rPr>
                <w:rFonts w:ascii="標楷體" w:eastAsia="標楷體" w:hAnsi="標楷體"/>
                <w:sz w:val="26"/>
                <w:szCs w:val="26"/>
              </w:rPr>
            </w:pPr>
            <w:r w:rsidRPr="00C126BA">
              <w:rPr>
                <w:rFonts w:ascii="標楷體" w:eastAsia="標楷體" w:hAnsi="標楷體" w:hint="eastAsia"/>
                <w:sz w:val="26"/>
                <w:szCs w:val="26"/>
              </w:rPr>
              <w:t>治療人員評估能力：治療人員可運用復能目標達成評估表(Goal Attainment Scale, GAS)評估個案及設定復能目標。</w:t>
            </w:r>
          </w:p>
          <w:p w14:paraId="37902278" w14:textId="77777777" w:rsidR="00C702CA" w:rsidRPr="00C126BA" w:rsidRDefault="00C702CA" w:rsidP="00C702CA">
            <w:pPr>
              <w:pStyle w:val="a4"/>
              <w:numPr>
                <w:ilvl w:val="0"/>
                <w:numId w:val="15"/>
              </w:numPr>
              <w:ind w:leftChars="0"/>
              <w:jc w:val="both"/>
              <w:rPr>
                <w:rFonts w:ascii="標楷體" w:eastAsia="標楷體" w:hAnsi="標楷體"/>
                <w:sz w:val="26"/>
                <w:szCs w:val="26"/>
              </w:rPr>
            </w:pPr>
            <w:r w:rsidRPr="00C126BA">
              <w:rPr>
                <w:rFonts w:ascii="標楷體" w:eastAsia="標楷體" w:hAnsi="標楷體" w:hint="eastAsia"/>
                <w:sz w:val="26"/>
                <w:szCs w:val="26"/>
              </w:rPr>
              <w:lastRenderedPageBreak/>
              <w:t>復能活動設計能力：治療人員有能力設計每日團體基礎復能活動，另針對復能潛能個案規劃個別化復能訓練。</w:t>
            </w:r>
          </w:p>
          <w:p w14:paraId="2F8714C2" w14:textId="77777777" w:rsidR="00C702CA" w:rsidRPr="00C126BA" w:rsidRDefault="00C702CA" w:rsidP="00C702CA">
            <w:pPr>
              <w:pStyle w:val="a4"/>
              <w:numPr>
                <w:ilvl w:val="0"/>
                <w:numId w:val="15"/>
              </w:numPr>
              <w:ind w:leftChars="0"/>
              <w:jc w:val="both"/>
              <w:rPr>
                <w:rFonts w:ascii="標楷體" w:eastAsia="標楷體" w:hAnsi="標楷體"/>
                <w:sz w:val="26"/>
                <w:szCs w:val="26"/>
              </w:rPr>
            </w:pPr>
            <w:r w:rsidRPr="00C126BA">
              <w:rPr>
                <w:rFonts w:ascii="標楷體" w:eastAsia="標楷體" w:hAnsi="標楷體" w:hint="eastAsia"/>
                <w:sz w:val="26"/>
                <w:szCs w:val="26"/>
              </w:rPr>
              <w:t>指導照服員能力：治療人員具備與照顧服務員實際執行長照復能實務經驗。</w:t>
            </w:r>
          </w:p>
          <w:p w14:paraId="6C343509" w14:textId="77777777" w:rsidR="00C702CA" w:rsidRPr="00C126BA" w:rsidRDefault="00C702CA" w:rsidP="00C702CA">
            <w:pPr>
              <w:pStyle w:val="a4"/>
              <w:numPr>
                <w:ilvl w:val="0"/>
                <w:numId w:val="14"/>
              </w:numPr>
              <w:ind w:leftChars="0"/>
              <w:jc w:val="both"/>
              <w:rPr>
                <w:rFonts w:ascii="標楷體" w:eastAsia="標楷體" w:hAnsi="標楷體"/>
              </w:rPr>
            </w:pPr>
            <w:r w:rsidRPr="00C126BA">
              <w:rPr>
                <w:rFonts w:ascii="標楷體" w:eastAsia="標楷體" w:hAnsi="標楷體" w:hint="eastAsia"/>
                <w:sz w:val="26"/>
                <w:szCs w:val="26"/>
              </w:rPr>
              <w:t>服務提供包含社區式協助沐浴、社區式晚餐及針對具慢性病之個案做個別化管理(健康監測、營養餐飲及藥事等)，並召集各專業人員藉由跨專業討論會方式訂定個別化照護計畫。</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3</w:t>
            </w:r>
            <w:r w:rsidRPr="00C126BA">
              <w:rPr>
                <w:rFonts w:ascii="標楷體" w:eastAsia="標楷體" w:hAnsi="標楷體" w:hint="eastAsia"/>
                <w:sz w:val="26"/>
                <w:szCs w:val="26"/>
                <w:u w:val="single"/>
              </w:rPr>
              <w:t>分)</w:t>
            </w:r>
          </w:p>
          <w:p w14:paraId="29E37CF4" w14:textId="77777777" w:rsidR="00C702CA" w:rsidRPr="00C126BA" w:rsidRDefault="00C702CA" w:rsidP="00C702CA">
            <w:pPr>
              <w:pStyle w:val="a4"/>
              <w:numPr>
                <w:ilvl w:val="0"/>
                <w:numId w:val="14"/>
              </w:numPr>
              <w:ind w:leftChars="0"/>
              <w:jc w:val="both"/>
              <w:rPr>
                <w:rFonts w:ascii="標楷體" w:eastAsia="標楷體" w:hAnsi="標楷體"/>
                <w:sz w:val="26"/>
                <w:szCs w:val="26"/>
              </w:rPr>
            </w:pPr>
            <w:r w:rsidRPr="00C126BA">
              <w:rPr>
                <w:rFonts w:ascii="標楷體" w:eastAsia="標楷體" w:hAnsi="標楷體" w:hint="eastAsia"/>
                <w:sz w:val="26"/>
                <w:szCs w:val="26"/>
              </w:rPr>
              <w:t>空間使用計畫：</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4</w:t>
            </w:r>
            <w:r w:rsidRPr="00C126BA">
              <w:rPr>
                <w:rFonts w:ascii="標楷體" w:eastAsia="標楷體" w:hAnsi="標楷體" w:hint="eastAsia"/>
                <w:sz w:val="26"/>
                <w:szCs w:val="26"/>
                <w:u w:val="single"/>
              </w:rPr>
              <w:t>分)</w:t>
            </w:r>
          </w:p>
          <w:p w14:paraId="173D58A9" w14:textId="77777777" w:rsidR="00C702CA" w:rsidRPr="00C126BA" w:rsidRDefault="00C702CA" w:rsidP="00C702CA">
            <w:pPr>
              <w:pStyle w:val="a4"/>
              <w:numPr>
                <w:ilvl w:val="0"/>
                <w:numId w:val="17"/>
              </w:numPr>
              <w:ind w:leftChars="0"/>
              <w:jc w:val="both"/>
              <w:rPr>
                <w:rFonts w:ascii="標楷體" w:eastAsia="標楷體" w:hAnsi="標楷體"/>
                <w:sz w:val="26"/>
                <w:szCs w:val="26"/>
              </w:rPr>
            </w:pPr>
            <w:r w:rsidRPr="00C126BA">
              <w:rPr>
                <w:rFonts w:ascii="標楷體" w:eastAsia="標楷體" w:hAnsi="標楷體" w:hint="eastAsia"/>
                <w:sz w:val="26"/>
                <w:szCs w:val="26"/>
              </w:rPr>
              <w:t>具空間規劃能力：依法規規劃單元照顧模式，劃分復能區域(平均0.5坪/人)、日常活動區(平均4</w:t>
            </w:r>
            <w:r w:rsidRPr="00C126BA">
              <w:rPr>
                <w:rFonts w:ascii="標楷體" w:eastAsia="標楷體" w:hAnsi="標楷體"/>
                <w:sz w:val="26"/>
                <w:szCs w:val="26"/>
              </w:rPr>
              <w:t>㎡/人</w:t>
            </w:r>
            <w:r w:rsidRPr="00C126BA">
              <w:rPr>
                <w:rFonts w:ascii="標楷體" w:eastAsia="標楷體" w:hAnsi="標楷體" w:hint="eastAsia"/>
                <w:sz w:val="26"/>
                <w:szCs w:val="26"/>
              </w:rPr>
              <w:t>)、廚房、休憩區等。</w:t>
            </w:r>
          </w:p>
          <w:p w14:paraId="277F11D4" w14:textId="77777777" w:rsidR="00C702CA" w:rsidRPr="00C126BA" w:rsidRDefault="00C702CA" w:rsidP="00C702CA">
            <w:pPr>
              <w:pStyle w:val="a4"/>
              <w:numPr>
                <w:ilvl w:val="0"/>
                <w:numId w:val="17"/>
              </w:numPr>
              <w:ind w:leftChars="0"/>
              <w:jc w:val="both"/>
              <w:rPr>
                <w:rFonts w:ascii="標楷體" w:eastAsia="標楷體" w:hAnsi="標楷體"/>
                <w:sz w:val="26"/>
                <w:szCs w:val="26"/>
              </w:rPr>
            </w:pPr>
            <w:r w:rsidRPr="00C126BA">
              <w:rPr>
                <w:rFonts w:ascii="標楷體" w:eastAsia="標楷體" w:hAnsi="標楷體" w:hint="eastAsia"/>
                <w:sz w:val="26"/>
                <w:szCs w:val="26"/>
              </w:rPr>
              <w:t>營造友善失智者環境能力：減少容易導致跌倒受傷的環境(如光滑或反光地板、易滑動小地毯、家具銳角)、牆壁和地面避免眼花撩亂的圖樣、減少令人不安噪音干擾等。</w:t>
            </w:r>
          </w:p>
        </w:tc>
        <w:tc>
          <w:tcPr>
            <w:tcW w:w="797" w:type="dxa"/>
          </w:tcPr>
          <w:p w14:paraId="50DBC1F7" w14:textId="77777777" w:rsidR="00C702CA" w:rsidRPr="00C126BA" w:rsidRDefault="00C702CA">
            <w:pPr>
              <w:rPr>
                <w:rFonts w:ascii="標楷體" w:eastAsia="標楷體" w:hAnsi="標楷體"/>
              </w:rPr>
            </w:pPr>
          </w:p>
        </w:tc>
      </w:tr>
      <w:tr w:rsidR="005836A0" w:rsidRPr="005836A0" w14:paraId="688E8459" w14:textId="77777777" w:rsidTr="00DC5E9A">
        <w:trPr>
          <w:trHeight w:val="313"/>
        </w:trPr>
        <w:tc>
          <w:tcPr>
            <w:tcW w:w="1809" w:type="dxa"/>
          </w:tcPr>
          <w:p w14:paraId="1AFEB142" w14:textId="77777777" w:rsidR="007555F6" w:rsidRPr="00C126BA" w:rsidRDefault="00FD0EB0" w:rsidP="00C702CA">
            <w:pPr>
              <w:jc w:val="center"/>
              <w:rPr>
                <w:rFonts w:ascii="標楷體" w:eastAsia="標楷體" w:hAnsi="標楷體"/>
                <w:sz w:val="26"/>
                <w:szCs w:val="26"/>
              </w:rPr>
            </w:pPr>
            <w:r w:rsidRPr="00C126BA">
              <w:rPr>
                <w:rFonts w:ascii="標楷體" w:eastAsia="標楷體" w:hAnsi="標楷體" w:hint="eastAsia"/>
                <w:sz w:val="26"/>
                <w:szCs w:val="26"/>
              </w:rPr>
              <w:t>本案</w:t>
            </w:r>
            <w:r w:rsidRPr="00C126BA">
              <w:rPr>
                <w:rFonts w:ascii="標楷體" w:eastAsia="標楷體" w:hAnsi="標楷體"/>
                <w:sz w:val="26"/>
                <w:szCs w:val="26"/>
              </w:rPr>
              <w:t>人員規劃及專業度</w:t>
            </w:r>
          </w:p>
          <w:p w14:paraId="37E2F41D" w14:textId="77777777" w:rsidR="00FD0EB0" w:rsidRPr="00C126BA" w:rsidRDefault="00FD0EB0" w:rsidP="00C702CA">
            <w:pPr>
              <w:jc w:val="center"/>
              <w:rPr>
                <w:rFonts w:ascii="標楷體" w:eastAsia="標楷體" w:hAnsi="標楷體"/>
              </w:rPr>
            </w:pPr>
            <w:r w:rsidRPr="00C126BA">
              <w:rPr>
                <w:rFonts w:ascii="標楷體" w:eastAsia="標楷體" w:hAnsi="標楷體" w:hint="eastAsia"/>
                <w:sz w:val="26"/>
                <w:szCs w:val="26"/>
              </w:rPr>
              <w:t>（</w:t>
            </w:r>
            <w:r w:rsidR="005836A0" w:rsidRPr="00C126BA">
              <w:rPr>
                <w:rFonts w:ascii="標楷體" w:eastAsia="標楷體" w:hAnsi="標楷體" w:hint="eastAsia"/>
                <w:sz w:val="26"/>
                <w:szCs w:val="26"/>
              </w:rPr>
              <w:t>20</w:t>
            </w:r>
            <w:r w:rsidRPr="00C126BA">
              <w:rPr>
                <w:rFonts w:ascii="標楷體" w:eastAsia="標楷體" w:hAnsi="標楷體" w:hint="eastAsia"/>
                <w:sz w:val="26"/>
                <w:szCs w:val="26"/>
              </w:rPr>
              <w:t>分</w:t>
            </w:r>
            <w:r w:rsidRPr="00C126BA">
              <w:rPr>
                <w:rFonts w:ascii="標楷體" w:eastAsia="標楷體" w:hAnsi="標楷體"/>
                <w:sz w:val="26"/>
                <w:szCs w:val="26"/>
              </w:rPr>
              <w:t>）</w:t>
            </w:r>
          </w:p>
        </w:tc>
        <w:tc>
          <w:tcPr>
            <w:tcW w:w="7088" w:type="dxa"/>
          </w:tcPr>
          <w:p w14:paraId="18BBCCC9" w14:textId="77777777" w:rsidR="00FD0EB0" w:rsidRPr="00C126BA" w:rsidRDefault="00FD0EB0" w:rsidP="00C702CA">
            <w:pPr>
              <w:pStyle w:val="a4"/>
              <w:numPr>
                <w:ilvl w:val="0"/>
                <w:numId w:val="7"/>
              </w:numPr>
              <w:ind w:leftChars="0"/>
              <w:jc w:val="both"/>
              <w:rPr>
                <w:rFonts w:ascii="標楷體" w:eastAsia="標楷體" w:hAnsi="標楷體"/>
                <w:sz w:val="26"/>
                <w:szCs w:val="26"/>
              </w:rPr>
            </w:pPr>
            <w:r w:rsidRPr="00C126BA">
              <w:rPr>
                <w:rFonts w:ascii="標楷體" w:eastAsia="標楷體" w:hAnsi="標楷體" w:hint="eastAsia"/>
                <w:sz w:val="26"/>
                <w:szCs w:val="26"/>
              </w:rPr>
              <w:t>專業人力配置、資歷及專長：</w:t>
            </w:r>
            <w:r w:rsidR="00095661" w:rsidRPr="00C126BA">
              <w:rPr>
                <w:rFonts w:ascii="標楷體" w:eastAsia="標楷體" w:hAnsi="標楷體" w:hint="eastAsia"/>
                <w:sz w:val="26"/>
                <w:szCs w:val="26"/>
                <w:u w:val="single"/>
              </w:rPr>
              <w:t>(4分)</w:t>
            </w:r>
          </w:p>
          <w:p w14:paraId="77AC0319" w14:textId="77777777" w:rsidR="00FD0EB0" w:rsidRPr="00C126BA" w:rsidRDefault="00FD0EB0" w:rsidP="00C702CA">
            <w:pPr>
              <w:pStyle w:val="a4"/>
              <w:numPr>
                <w:ilvl w:val="0"/>
                <w:numId w:val="21"/>
              </w:numPr>
              <w:ind w:leftChars="0"/>
              <w:jc w:val="both"/>
              <w:rPr>
                <w:rFonts w:ascii="標楷體" w:eastAsia="標楷體" w:hAnsi="標楷體"/>
                <w:sz w:val="26"/>
                <w:szCs w:val="26"/>
              </w:rPr>
            </w:pPr>
            <w:r w:rsidRPr="00C126BA">
              <w:rPr>
                <w:rFonts w:ascii="標楷體" w:eastAsia="標楷體" w:hAnsi="標楷體" w:hint="eastAsia"/>
                <w:sz w:val="26"/>
                <w:szCs w:val="26"/>
              </w:rPr>
              <w:t>專業人員依法規配置外，另有支援護理師、社工、營養師及藥師等專業人員之配置。</w:t>
            </w:r>
          </w:p>
          <w:p w14:paraId="1CFFCC3F" w14:textId="77777777" w:rsidR="00FD0EB0" w:rsidRPr="00C126BA" w:rsidRDefault="00FD0EB0" w:rsidP="00C702CA">
            <w:pPr>
              <w:pStyle w:val="a4"/>
              <w:numPr>
                <w:ilvl w:val="0"/>
                <w:numId w:val="21"/>
              </w:numPr>
              <w:ind w:leftChars="0"/>
              <w:jc w:val="both"/>
              <w:rPr>
                <w:rFonts w:ascii="標楷體" w:eastAsia="標楷體" w:hAnsi="標楷體"/>
                <w:sz w:val="26"/>
                <w:szCs w:val="26"/>
              </w:rPr>
            </w:pPr>
            <w:r w:rsidRPr="00C126BA">
              <w:rPr>
                <w:rFonts w:ascii="標楷體" w:eastAsia="標楷體" w:hAnsi="標楷體" w:hint="eastAsia"/>
                <w:sz w:val="26"/>
                <w:szCs w:val="26"/>
              </w:rPr>
              <w:t>專業人力資歷、專長之規劃：具有1年及3年以上日間照顧經驗之專任專業人力之配置（須檢附佐證資料)。</w:t>
            </w:r>
          </w:p>
          <w:p w14:paraId="1C4B5199" w14:textId="77777777" w:rsidR="00FD0EB0" w:rsidRPr="00C126BA" w:rsidRDefault="00FD0EB0" w:rsidP="00C702CA">
            <w:pPr>
              <w:pStyle w:val="a4"/>
              <w:numPr>
                <w:ilvl w:val="0"/>
                <w:numId w:val="7"/>
              </w:numPr>
              <w:ind w:leftChars="0"/>
              <w:jc w:val="both"/>
              <w:rPr>
                <w:rFonts w:ascii="標楷體" w:eastAsia="標楷體" w:hAnsi="標楷體"/>
                <w:sz w:val="26"/>
                <w:szCs w:val="26"/>
                <w:u w:val="single"/>
              </w:rPr>
            </w:pPr>
            <w:r w:rsidRPr="00C126BA">
              <w:rPr>
                <w:rFonts w:ascii="標楷體" w:eastAsia="標楷體" w:hAnsi="標楷體" w:hint="eastAsia"/>
                <w:sz w:val="26"/>
                <w:szCs w:val="26"/>
              </w:rPr>
              <w:t>機構內的人員訓練訓練安排：</w:t>
            </w:r>
            <w:r w:rsidR="00095661" w:rsidRPr="00C126BA">
              <w:rPr>
                <w:rFonts w:ascii="標楷體" w:eastAsia="標楷體" w:hAnsi="標楷體" w:hint="eastAsia"/>
                <w:sz w:val="26"/>
                <w:szCs w:val="26"/>
                <w:u w:val="single"/>
              </w:rPr>
              <w:t>(9分)</w:t>
            </w:r>
          </w:p>
          <w:p w14:paraId="108623B7" w14:textId="77777777" w:rsidR="00FD0EB0" w:rsidRPr="00C126BA" w:rsidRDefault="007555F6" w:rsidP="00C702CA">
            <w:pPr>
              <w:pStyle w:val="a4"/>
              <w:numPr>
                <w:ilvl w:val="0"/>
                <w:numId w:val="22"/>
              </w:numPr>
              <w:ind w:leftChars="0"/>
              <w:jc w:val="both"/>
              <w:rPr>
                <w:rFonts w:ascii="標楷體" w:eastAsia="標楷體" w:hAnsi="標楷體"/>
                <w:sz w:val="26"/>
                <w:szCs w:val="26"/>
              </w:rPr>
            </w:pPr>
            <w:r w:rsidRPr="00C126BA">
              <w:rPr>
                <w:rFonts w:ascii="標楷體" w:eastAsia="標楷體" w:hAnsi="標楷體" w:hint="eastAsia"/>
                <w:sz w:val="26"/>
                <w:szCs w:val="26"/>
              </w:rPr>
              <w:t>治療師擬訂照顧服務員復能活動指導計畫</w:t>
            </w:r>
            <w:r w:rsidR="00FD0EB0" w:rsidRPr="00C126BA">
              <w:rPr>
                <w:rFonts w:ascii="標楷體" w:eastAsia="標楷體" w:hAnsi="標楷體" w:hint="eastAsia"/>
                <w:sz w:val="26"/>
                <w:szCs w:val="26"/>
              </w:rPr>
              <w:t>。</w:t>
            </w:r>
          </w:p>
          <w:p w14:paraId="0514E1C0" w14:textId="77777777" w:rsidR="00FD0EB0" w:rsidRPr="00C126BA" w:rsidRDefault="00FD0EB0" w:rsidP="00C702CA">
            <w:pPr>
              <w:pStyle w:val="a4"/>
              <w:numPr>
                <w:ilvl w:val="0"/>
                <w:numId w:val="22"/>
              </w:numPr>
              <w:ind w:leftChars="0"/>
              <w:jc w:val="both"/>
              <w:rPr>
                <w:rFonts w:ascii="標楷體" w:eastAsia="標楷體" w:hAnsi="標楷體"/>
                <w:sz w:val="26"/>
                <w:szCs w:val="26"/>
              </w:rPr>
            </w:pPr>
            <w:r w:rsidRPr="00C126BA">
              <w:rPr>
                <w:rFonts w:ascii="標楷體" w:eastAsia="標楷體" w:hAnsi="標楷體" w:hint="eastAsia"/>
                <w:sz w:val="26"/>
                <w:szCs w:val="26"/>
              </w:rPr>
              <w:t>口腔照護訓練(健口操等)</w:t>
            </w:r>
            <w:r w:rsidR="007555F6" w:rsidRPr="00C126BA">
              <w:rPr>
                <w:rFonts w:ascii="標楷體" w:eastAsia="標楷體" w:hAnsi="標楷體" w:hint="eastAsia"/>
                <w:sz w:val="26"/>
                <w:szCs w:val="26"/>
              </w:rPr>
              <w:t>、</w:t>
            </w:r>
            <w:r w:rsidRPr="00C126BA">
              <w:rPr>
                <w:rFonts w:ascii="標楷體" w:eastAsia="標楷體" w:hAnsi="標楷體" w:hint="eastAsia"/>
                <w:sz w:val="26"/>
                <w:szCs w:val="26"/>
              </w:rPr>
              <w:t>營養餐飲訓練(慢性病營養攝取等)</w:t>
            </w:r>
            <w:r w:rsidR="007555F6" w:rsidRPr="00C126BA">
              <w:rPr>
                <w:rFonts w:ascii="標楷體" w:eastAsia="標楷體" w:hAnsi="標楷體" w:hint="eastAsia"/>
                <w:sz w:val="26"/>
                <w:szCs w:val="26"/>
              </w:rPr>
              <w:t>、</w:t>
            </w:r>
            <w:r w:rsidRPr="00C126BA">
              <w:rPr>
                <w:rFonts w:ascii="標楷體" w:eastAsia="標楷體" w:hAnsi="標楷體" w:hint="eastAsia"/>
                <w:sz w:val="26"/>
                <w:szCs w:val="26"/>
              </w:rPr>
              <w:t>藥事管理訓練(慢性病藥事照護等)。</w:t>
            </w:r>
          </w:p>
          <w:p w14:paraId="0D25340E" w14:textId="77777777" w:rsidR="00FD0EB0" w:rsidRPr="00C126BA" w:rsidRDefault="00FD0EB0" w:rsidP="00C702CA">
            <w:pPr>
              <w:pStyle w:val="a4"/>
              <w:numPr>
                <w:ilvl w:val="0"/>
                <w:numId w:val="22"/>
              </w:numPr>
              <w:ind w:leftChars="0"/>
              <w:jc w:val="both"/>
              <w:rPr>
                <w:rFonts w:ascii="標楷體" w:eastAsia="標楷體" w:hAnsi="標楷體"/>
                <w:sz w:val="26"/>
                <w:szCs w:val="26"/>
              </w:rPr>
            </w:pPr>
            <w:r w:rsidRPr="00C126BA">
              <w:rPr>
                <w:rFonts w:ascii="標楷體" w:eastAsia="標楷體" w:hAnsi="標楷體" w:hint="eastAsia"/>
                <w:sz w:val="26"/>
                <w:szCs w:val="26"/>
              </w:rPr>
              <w:t>失智照護專業訓練。</w:t>
            </w:r>
          </w:p>
          <w:p w14:paraId="674AC47E" w14:textId="77777777" w:rsidR="00FD0EB0" w:rsidRPr="00C126BA" w:rsidRDefault="00FD0EB0" w:rsidP="00C702CA">
            <w:pPr>
              <w:pStyle w:val="a4"/>
              <w:numPr>
                <w:ilvl w:val="0"/>
                <w:numId w:val="7"/>
              </w:numPr>
              <w:ind w:leftChars="0"/>
              <w:jc w:val="both"/>
              <w:rPr>
                <w:rFonts w:ascii="標楷體" w:eastAsia="標楷體" w:hAnsi="標楷體"/>
                <w:sz w:val="26"/>
                <w:szCs w:val="26"/>
              </w:rPr>
            </w:pPr>
            <w:r w:rsidRPr="00C126BA">
              <w:rPr>
                <w:rFonts w:ascii="標楷體" w:eastAsia="標楷體" w:hAnsi="標楷體" w:hint="eastAsia"/>
                <w:sz w:val="26"/>
                <w:szCs w:val="26"/>
              </w:rPr>
              <w:t>本案機構內人力穩定措施規劃(薪資編列、其他福利制度等)。</w:t>
            </w:r>
            <w:r w:rsidRPr="00C126BA">
              <w:rPr>
                <w:rFonts w:ascii="標楷體" w:eastAsia="標楷體" w:hAnsi="標楷體" w:hint="eastAsia"/>
                <w:sz w:val="26"/>
                <w:szCs w:val="26"/>
                <w:u w:val="single"/>
              </w:rPr>
              <w:t>(5分)</w:t>
            </w:r>
          </w:p>
          <w:p w14:paraId="3A60F396" w14:textId="77777777" w:rsidR="00FD0EB0" w:rsidRPr="00C126BA" w:rsidRDefault="00FD0EB0" w:rsidP="00C702CA">
            <w:pPr>
              <w:pStyle w:val="a4"/>
              <w:numPr>
                <w:ilvl w:val="0"/>
                <w:numId w:val="7"/>
              </w:numPr>
              <w:ind w:leftChars="0"/>
              <w:jc w:val="both"/>
              <w:rPr>
                <w:rFonts w:ascii="標楷體" w:eastAsia="標楷體" w:hAnsi="標楷體"/>
                <w:sz w:val="26"/>
                <w:szCs w:val="26"/>
              </w:rPr>
            </w:pPr>
            <w:r w:rsidRPr="00C126BA">
              <w:rPr>
                <w:rFonts w:ascii="標楷體" w:eastAsia="標楷體" w:hAnsi="標楷體" w:hint="eastAsia"/>
                <w:sz w:val="26"/>
                <w:szCs w:val="26"/>
              </w:rPr>
              <w:t>應建置醫師諮詢機制流程，含證明文件及轉介流程。</w:t>
            </w:r>
            <w:r w:rsidRPr="00C126BA">
              <w:rPr>
                <w:rFonts w:ascii="標楷體" w:eastAsia="標楷體" w:hAnsi="標楷體" w:hint="eastAsia"/>
                <w:sz w:val="26"/>
                <w:szCs w:val="26"/>
                <w:u w:val="single"/>
              </w:rPr>
              <w:t>(2分)</w:t>
            </w:r>
          </w:p>
        </w:tc>
        <w:tc>
          <w:tcPr>
            <w:tcW w:w="797" w:type="dxa"/>
          </w:tcPr>
          <w:p w14:paraId="346D84DB" w14:textId="77777777" w:rsidR="00FD0EB0" w:rsidRPr="00C126BA" w:rsidRDefault="00FD0EB0">
            <w:pPr>
              <w:rPr>
                <w:rFonts w:ascii="標楷體" w:eastAsia="標楷體" w:hAnsi="標楷體"/>
              </w:rPr>
            </w:pPr>
          </w:p>
        </w:tc>
      </w:tr>
      <w:tr w:rsidR="005836A0" w:rsidRPr="005836A0" w14:paraId="0B941536" w14:textId="77777777" w:rsidTr="00DC5E9A">
        <w:trPr>
          <w:trHeight w:val="313"/>
        </w:trPr>
        <w:tc>
          <w:tcPr>
            <w:tcW w:w="1809" w:type="dxa"/>
          </w:tcPr>
          <w:p w14:paraId="3E782C6A" w14:textId="77777777" w:rsidR="007555F6" w:rsidRPr="00C126BA" w:rsidRDefault="007555F6" w:rsidP="00C702CA">
            <w:pPr>
              <w:jc w:val="both"/>
              <w:rPr>
                <w:rFonts w:ascii="標楷體" w:eastAsia="標楷體" w:hAnsi="標楷體"/>
                <w:sz w:val="26"/>
                <w:szCs w:val="26"/>
              </w:rPr>
            </w:pPr>
            <w:r w:rsidRPr="00C126BA">
              <w:rPr>
                <w:rFonts w:ascii="標楷體" w:eastAsia="標楷體" w:hAnsi="標楷體"/>
                <w:sz w:val="26"/>
                <w:szCs w:val="26"/>
              </w:rPr>
              <w:t>本案資源開發(醫療資源、</w:t>
            </w:r>
            <w:r w:rsidRPr="00C126BA">
              <w:rPr>
                <w:rFonts w:ascii="標楷體" w:eastAsia="標楷體" w:hAnsi="標楷體" w:hint="eastAsia"/>
                <w:sz w:val="26"/>
                <w:szCs w:val="26"/>
              </w:rPr>
              <w:t>長照據點</w:t>
            </w:r>
            <w:r w:rsidRPr="00C126BA">
              <w:rPr>
                <w:rFonts w:ascii="標楷體" w:eastAsia="標楷體" w:hAnsi="標楷體"/>
                <w:sz w:val="26"/>
                <w:szCs w:val="26"/>
              </w:rPr>
              <w:t>與服務單位的連結</w:t>
            </w:r>
            <w:r w:rsidRPr="00C126BA">
              <w:rPr>
                <w:rFonts w:ascii="標楷體" w:eastAsia="標楷體" w:hAnsi="標楷體" w:hint="eastAsia"/>
                <w:sz w:val="26"/>
                <w:szCs w:val="26"/>
              </w:rPr>
              <w:t>性</w:t>
            </w:r>
            <w:r w:rsidRPr="00C126BA">
              <w:rPr>
                <w:rFonts w:ascii="標楷體" w:eastAsia="標楷體" w:hAnsi="標楷體"/>
                <w:sz w:val="26"/>
                <w:szCs w:val="26"/>
              </w:rPr>
              <w:t>)（</w:t>
            </w:r>
            <w:r w:rsidR="005836A0" w:rsidRPr="00C126BA">
              <w:rPr>
                <w:rFonts w:ascii="標楷體" w:eastAsia="標楷體" w:hAnsi="標楷體"/>
                <w:sz w:val="26"/>
                <w:szCs w:val="26"/>
              </w:rPr>
              <w:t>10</w:t>
            </w:r>
            <w:r w:rsidRPr="00C126BA">
              <w:rPr>
                <w:rFonts w:ascii="標楷體" w:eastAsia="標楷體" w:hAnsi="標楷體" w:hint="eastAsia"/>
                <w:sz w:val="26"/>
                <w:szCs w:val="26"/>
              </w:rPr>
              <w:t>分</w:t>
            </w:r>
            <w:r w:rsidRPr="00C126BA">
              <w:rPr>
                <w:rFonts w:ascii="標楷體" w:eastAsia="標楷體" w:hAnsi="標楷體"/>
                <w:sz w:val="26"/>
                <w:szCs w:val="26"/>
              </w:rPr>
              <w:t>）</w:t>
            </w:r>
          </w:p>
        </w:tc>
        <w:tc>
          <w:tcPr>
            <w:tcW w:w="7088" w:type="dxa"/>
          </w:tcPr>
          <w:p w14:paraId="234CAF6F" w14:textId="77777777" w:rsidR="007555F6" w:rsidRPr="00C126BA" w:rsidRDefault="007555F6" w:rsidP="00C702CA">
            <w:pPr>
              <w:pStyle w:val="a4"/>
              <w:numPr>
                <w:ilvl w:val="0"/>
                <w:numId w:val="8"/>
              </w:numPr>
              <w:ind w:leftChars="0"/>
              <w:jc w:val="both"/>
              <w:rPr>
                <w:rFonts w:ascii="標楷體" w:eastAsia="標楷體" w:hAnsi="標楷體"/>
                <w:sz w:val="26"/>
                <w:szCs w:val="26"/>
              </w:rPr>
            </w:pPr>
            <w:r w:rsidRPr="00C126BA">
              <w:rPr>
                <w:rFonts w:ascii="標楷體" w:eastAsia="標楷體" w:hAnsi="標楷體" w:hint="eastAsia"/>
                <w:sz w:val="26"/>
                <w:szCs w:val="26"/>
              </w:rPr>
              <w:t>如何與在地衛生所、醫療機構合作(長者就醫轉介流程、長者慢性疾病監測及回診機制)。</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6</w:t>
            </w:r>
            <w:r w:rsidRPr="00C126BA">
              <w:rPr>
                <w:rFonts w:ascii="標楷體" w:eastAsia="標楷體" w:hAnsi="標楷體" w:hint="eastAsia"/>
                <w:sz w:val="26"/>
                <w:szCs w:val="26"/>
                <w:u w:val="single"/>
              </w:rPr>
              <w:t>分)</w:t>
            </w:r>
          </w:p>
          <w:p w14:paraId="4FF2EF65" w14:textId="77777777" w:rsidR="007555F6" w:rsidRPr="00C126BA" w:rsidRDefault="007555F6" w:rsidP="00C702CA">
            <w:pPr>
              <w:pStyle w:val="a4"/>
              <w:numPr>
                <w:ilvl w:val="0"/>
                <w:numId w:val="8"/>
              </w:numPr>
              <w:ind w:leftChars="0"/>
              <w:jc w:val="both"/>
              <w:rPr>
                <w:rFonts w:ascii="標楷體" w:eastAsia="標楷體" w:hAnsi="標楷體"/>
                <w:sz w:val="26"/>
                <w:szCs w:val="26"/>
              </w:rPr>
            </w:pPr>
            <w:r w:rsidRPr="00C126BA">
              <w:rPr>
                <w:rFonts w:ascii="標楷體" w:eastAsia="標楷體" w:hAnsi="標楷體" w:hint="eastAsia"/>
                <w:sz w:val="26"/>
                <w:szCs w:val="26"/>
              </w:rPr>
              <w:t>是否具備與本縣在地社區連結之經驗與實績(失智據點、C據點、關懷據點等日照中心(失智、失能或混合)及團體家屋衛教宣導)。</w:t>
            </w:r>
            <w:r w:rsidRPr="00C126BA">
              <w:rPr>
                <w:rFonts w:ascii="標楷體" w:eastAsia="標楷體" w:hAnsi="標楷體" w:hint="eastAsia"/>
                <w:sz w:val="26"/>
                <w:szCs w:val="26"/>
                <w:u w:val="single"/>
              </w:rPr>
              <w:t>(</w:t>
            </w:r>
            <w:r w:rsidR="005836A0" w:rsidRPr="00C126BA">
              <w:rPr>
                <w:rFonts w:ascii="標楷體" w:eastAsia="標楷體" w:hAnsi="標楷體" w:hint="eastAsia"/>
                <w:sz w:val="26"/>
                <w:szCs w:val="26"/>
                <w:u w:val="single"/>
              </w:rPr>
              <w:t>4</w:t>
            </w:r>
            <w:r w:rsidRPr="00C126BA">
              <w:rPr>
                <w:rFonts w:ascii="標楷體" w:eastAsia="標楷體" w:hAnsi="標楷體" w:hint="eastAsia"/>
                <w:sz w:val="26"/>
                <w:szCs w:val="26"/>
                <w:u w:val="single"/>
              </w:rPr>
              <w:t>分)</w:t>
            </w:r>
          </w:p>
        </w:tc>
        <w:tc>
          <w:tcPr>
            <w:tcW w:w="797" w:type="dxa"/>
          </w:tcPr>
          <w:p w14:paraId="35D6C6C4" w14:textId="77777777" w:rsidR="007555F6" w:rsidRPr="00C126BA" w:rsidRDefault="007555F6">
            <w:pPr>
              <w:rPr>
                <w:rFonts w:ascii="標楷體" w:eastAsia="標楷體" w:hAnsi="標楷體"/>
              </w:rPr>
            </w:pPr>
          </w:p>
        </w:tc>
      </w:tr>
      <w:tr w:rsidR="005836A0" w:rsidRPr="005836A0" w14:paraId="68F1FB8B" w14:textId="77777777" w:rsidTr="00DC5E9A">
        <w:trPr>
          <w:trHeight w:val="313"/>
        </w:trPr>
        <w:tc>
          <w:tcPr>
            <w:tcW w:w="1809" w:type="dxa"/>
          </w:tcPr>
          <w:p w14:paraId="4AFE8172" w14:textId="77777777" w:rsidR="006C650F" w:rsidRPr="00C126BA" w:rsidRDefault="007555F6" w:rsidP="00C702CA">
            <w:pPr>
              <w:jc w:val="both"/>
              <w:rPr>
                <w:rFonts w:ascii="標楷體" w:eastAsia="標楷體" w:hAnsi="標楷體"/>
                <w:sz w:val="26"/>
                <w:szCs w:val="26"/>
              </w:rPr>
            </w:pPr>
            <w:r w:rsidRPr="00C126BA">
              <w:rPr>
                <w:rFonts w:ascii="標楷體" w:eastAsia="標楷體" w:hAnsi="標楷體"/>
                <w:sz w:val="26"/>
                <w:szCs w:val="26"/>
              </w:rPr>
              <w:t>違規紀錄</w:t>
            </w:r>
          </w:p>
          <w:p w14:paraId="20B8E189" w14:textId="77777777" w:rsidR="007555F6" w:rsidRPr="00C126BA" w:rsidRDefault="007555F6" w:rsidP="00C702CA">
            <w:pPr>
              <w:jc w:val="both"/>
              <w:rPr>
                <w:rFonts w:ascii="標楷體" w:eastAsia="標楷體" w:hAnsi="標楷體"/>
                <w:sz w:val="26"/>
                <w:szCs w:val="26"/>
              </w:rPr>
            </w:pPr>
            <w:r w:rsidRPr="00C126BA">
              <w:rPr>
                <w:rFonts w:ascii="標楷體" w:eastAsia="標楷體" w:hAnsi="標楷體" w:hint="eastAsia"/>
                <w:sz w:val="26"/>
                <w:szCs w:val="26"/>
              </w:rPr>
              <w:t>(0〜</w:t>
            </w:r>
            <w:r w:rsidRPr="00C126BA">
              <w:rPr>
                <w:rFonts w:ascii="標楷體" w:eastAsia="標楷體" w:hAnsi="標楷體"/>
                <w:sz w:val="26"/>
                <w:szCs w:val="26"/>
              </w:rPr>
              <w:t>–</w:t>
            </w:r>
            <w:r w:rsidRPr="00C126BA">
              <w:rPr>
                <w:rFonts w:ascii="標楷體" w:eastAsia="標楷體" w:hAnsi="標楷體" w:hint="eastAsia"/>
                <w:sz w:val="26"/>
                <w:szCs w:val="26"/>
              </w:rPr>
              <w:t>5分)</w:t>
            </w:r>
          </w:p>
          <w:p w14:paraId="6FB1068E" w14:textId="77777777" w:rsidR="007555F6" w:rsidRPr="00C126BA" w:rsidRDefault="007555F6" w:rsidP="00C702CA">
            <w:pPr>
              <w:jc w:val="both"/>
              <w:rPr>
                <w:rFonts w:ascii="標楷體" w:eastAsia="標楷體" w:hAnsi="標楷體"/>
                <w:sz w:val="26"/>
                <w:szCs w:val="26"/>
              </w:rPr>
            </w:pPr>
            <w:r w:rsidRPr="00C126BA">
              <w:rPr>
                <w:rFonts w:ascii="標楷體" w:eastAsia="標楷體" w:hAnsi="標楷體" w:hint="eastAsia"/>
                <w:sz w:val="26"/>
                <w:szCs w:val="26"/>
              </w:rPr>
              <w:t>(依投件單位過往實績及書面資料內所載</w:t>
            </w:r>
            <w:r w:rsidRPr="00C126BA">
              <w:rPr>
                <w:rFonts w:ascii="標楷體" w:eastAsia="標楷體" w:hAnsi="標楷體" w:hint="eastAsia"/>
                <w:sz w:val="26"/>
                <w:szCs w:val="26"/>
              </w:rPr>
              <w:lastRenderedPageBreak/>
              <w:t>明之服務單位)</w:t>
            </w:r>
          </w:p>
        </w:tc>
        <w:tc>
          <w:tcPr>
            <w:tcW w:w="7088" w:type="dxa"/>
          </w:tcPr>
          <w:p w14:paraId="755561DB" w14:textId="77777777" w:rsidR="007555F6" w:rsidRPr="00C126BA" w:rsidRDefault="007555F6" w:rsidP="007555F6">
            <w:pPr>
              <w:jc w:val="both"/>
              <w:rPr>
                <w:rFonts w:ascii="標楷體" w:eastAsia="標楷體" w:hAnsi="標楷體"/>
                <w:sz w:val="26"/>
                <w:szCs w:val="26"/>
              </w:rPr>
            </w:pPr>
            <w:r w:rsidRPr="00C126BA">
              <w:rPr>
                <w:rFonts w:ascii="標楷體" w:eastAsia="標楷體" w:hAnsi="標楷體" w:hint="eastAsia"/>
                <w:sz w:val="26"/>
                <w:szCs w:val="26"/>
              </w:rPr>
              <w:lastRenderedPageBreak/>
              <w:t>3年內如有以下情形，採累計扣分，最多上限為-5分：</w:t>
            </w:r>
            <w:r w:rsidR="00FE3B15" w:rsidRPr="00C126BA">
              <w:rPr>
                <w:rFonts w:ascii="標楷體" w:eastAsia="標楷體" w:hAnsi="標楷體" w:hint="eastAsia"/>
                <w:sz w:val="26"/>
                <w:szCs w:val="26"/>
                <w:u w:val="single"/>
              </w:rPr>
              <w:t>(-</w:t>
            </w:r>
            <w:r w:rsidR="00565DB6" w:rsidRPr="00C126BA">
              <w:rPr>
                <w:rFonts w:ascii="標楷體" w:eastAsia="標楷體" w:hAnsi="標楷體" w:hint="eastAsia"/>
                <w:sz w:val="26"/>
                <w:szCs w:val="26"/>
                <w:u w:val="single"/>
              </w:rPr>
              <w:t>5</w:t>
            </w:r>
            <w:r w:rsidR="00FE3B15" w:rsidRPr="00C126BA">
              <w:rPr>
                <w:rFonts w:ascii="標楷體" w:eastAsia="標楷體" w:hAnsi="標楷體" w:hint="eastAsia"/>
                <w:sz w:val="26"/>
                <w:szCs w:val="26"/>
                <w:u w:val="single"/>
              </w:rPr>
              <w:t>分)</w:t>
            </w:r>
          </w:p>
          <w:p w14:paraId="6797FA87" w14:textId="77777777" w:rsidR="007555F6" w:rsidRPr="00C126BA" w:rsidRDefault="007555F6" w:rsidP="00C702CA">
            <w:pPr>
              <w:pStyle w:val="a4"/>
              <w:numPr>
                <w:ilvl w:val="0"/>
                <w:numId w:val="9"/>
              </w:numPr>
              <w:ind w:leftChars="0"/>
              <w:jc w:val="both"/>
              <w:rPr>
                <w:rFonts w:ascii="標楷體" w:eastAsia="標楷體" w:hAnsi="標楷體"/>
                <w:sz w:val="26"/>
                <w:szCs w:val="26"/>
                <w:u w:val="single"/>
              </w:rPr>
            </w:pPr>
            <w:r w:rsidRPr="00C126BA">
              <w:rPr>
                <w:rFonts w:ascii="標楷體" w:eastAsia="標楷體" w:hAnsi="標楷體" w:hint="eastAsia"/>
                <w:sz w:val="26"/>
                <w:szCs w:val="26"/>
              </w:rPr>
              <w:t>違規事項(含處分、記點)。</w:t>
            </w:r>
          </w:p>
          <w:p w14:paraId="4C730381" w14:textId="77777777" w:rsidR="007555F6" w:rsidRPr="00C126BA" w:rsidRDefault="007555F6" w:rsidP="00C702CA">
            <w:pPr>
              <w:pStyle w:val="a4"/>
              <w:numPr>
                <w:ilvl w:val="0"/>
                <w:numId w:val="9"/>
              </w:numPr>
              <w:ind w:leftChars="0"/>
              <w:jc w:val="both"/>
              <w:rPr>
                <w:rFonts w:ascii="標楷體" w:eastAsia="標楷體" w:hAnsi="標楷體"/>
                <w:sz w:val="26"/>
                <w:szCs w:val="26"/>
                <w:u w:val="single"/>
              </w:rPr>
            </w:pPr>
            <w:r w:rsidRPr="00C126BA">
              <w:rPr>
                <w:rFonts w:ascii="標楷體" w:eastAsia="標楷體" w:hAnsi="標楷體" w:hint="eastAsia"/>
                <w:sz w:val="26"/>
                <w:szCs w:val="26"/>
              </w:rPr>
              <w:t>評鑑不合格。</w:t>
            </w:r>
          </w:p>
          <w:p w14:paraId="735A4C5E" w14:textId="77777777" w:rsidR="007555F6" w:rsidRPr="00C126BA" w:rsidRDefault="007555F6" w:rsidP="00C702CA">
            <w:pPr>
              <w:pStyle w:val="a4"/>
              <w:numPr>
                <w:ilvl w:val="0"/>
                <w:numId w:val="9"/>
              </w:numPr>
              <w:ind w:leftChars="0"/>
              <w:jc w:val="both"/>
              <w:rPr>
                <w:rFonts w:ascii="標楷體" w:eastAsia="標楷體" w:hAnsi="標楷體"/>
                <w:sz w:val="26"/>
                <w:szCs w:val="26"/>
              </w:rPr>
            </w:pPr>
            <w:r w:rsidRPr="00C126BA">
              <w:rPr>
                <w:rFonts w:ascii="標楷體" w:eastAsia="標楷體" w:hAnsi="標楷體" w:hint="eastAsia"/>
                <w:sz w:val="26"/>
                <w:szCs w:val="26"/>
              </w:rPr>
              <w:t>服務品質不佳(民眾反映及陳情屬實)。</w:t>
            </w:r>
          </w:p>
        </w:tc>
        <w:tc>
          <w:tcPr>
            <w:tcW w:w="797" w:type="dxa"/>
          </w:tcPr>
          <w:p w14:paraId="6A30B08D" w14:textId="77777777" w:rsidR="007555F6" w:rsidRPr="00C126BA" w:rsidRDefault="007555F6">
            <w:pPr>
              <w:rPr>
                <w:rFonts w:ascii="標楷體" w:eastAsia="標楷體" w:hAnsi="標楷體"/>
              </w:rPr>
            </w:pPr>
          </w:p>
        </w:tc>
      </w:tr>
      <w:tr w:rsidR="005836A0" w:rsidRPr="005836A0" w14:paraId="3EB991B3" w14:textId="77777777" w:rsidTr="00E657CC">
        <w:trPr>
          <w:trHeight w:val="313"/>
        </w:trPr>
        <w:tc>
          <w:tcPr>
            <w:tcW w:w="9694" w:type="dxa"/>
            <w:gridSpan w:val="3"/>
          </w:tcPr>
          <w:p w14:paraId="264BFA09" w14:textId="77777777" w:rsidR="007555F6" w:rsidRPr="00C126BA" w:rsidRDefault="007555F6" w:rsidP="007555F6">
            <w:pPr>
              <w:jc w:val="both"/>
              <w:rPr>
                <w:rFonts w:ascii="標楷體" w:eastAsia="標楷體" w:hAnsi="標楷體"/>
                <w:sz w:val="26"/>
                <w:szCs w:val="26"/>
              </w:rPr>
            </w:pPr>
            <w:r w:rsidRPr="00C126BA">
              <w:rPr>
                <w:rFonts w:ascii="標楷體" w:eastAsia="標楷體" w:hAnsi="標楷體" w:hint="eastAsia"/>
                <w:sz w:val="26"/>
                <w:szCs w:val="26"/>
              </w:rPr>
              <w:t>建議事項：</w:t>
            </w:r>
          </w:p>
          <w:p w14:paraId="4BC3EC62" w14:textId="77777777" w:rsidR="007555F6" w:rsidRPr="00C126BA" w:rsidRDefault="007555F6" w:rsidP="007555F6">
            <w:pPr>
              <w:jc w:val="both"/>
              <w:rPr>
                <w:rFonts w:ascii="標楷體" w:eastAsia="標楷體" w:hAnsi="標楷體"/>
                <w:sz w:val="26"/>
                <w:szCs w:val="26"/>
              </w:rPr>
            </w:pPr>
          </w:p>
          <w:p w14:paraId="36503F86" w14:textId="77777777" w:rsidR="007555F6" w:rsidRPr="00C126BA" w:rsidRDefault="007555F6" w:rsidP="007555F6">
            <w:pPr>
              <w:jc w:val="both"/>
              <w:rPr>
                <w:rFonts w:ascii="標楷體" w:eastAsia="標楷體" w:hAnsi="標楷體"/>
                <w:sz w:val="26"/>
                <w:szCs w:val="26"/>
              </w:rPr>
            </w:pPr>
          </w:p>
          <w:p w14:paraId="3FA1BBF1" w14:textId="77777777" w:rsidR="007555F6" w:rsidRPr="00C126BA" w:rsidRDefault="007555F6" w:rsidP="007555F6">
            <w:pPr>
              <w:jc w:val="both"/>
              <w:rPr>
                <w:rFonts w:ascii="標楷體" w:eastAsia="標楷體" w:hAnsi="標楷體"/>
                <w:sz w:val="26"/>
                <w:szCs w:val="26"/>
              </w:rPr>
            </w:pPr>
          </w:p>
          <w:p w14:paraId="3AB3D23C" w14:textId="77777777" w:rsidR="007555F6" w:rsidRPr="00C126BA" w:rsidRDefault="007555F6" w:rsidP="007555F6">
            <w:pPr>
              <w:jc w:val="both"/>
              <w:rPr>
                <w:rFonts w:ascii="標楷體" w:eastAsia="標楷體" w:hAnsi="標楷體"/>
                <w:sz w:val="26"/>
                <w:szCs w:val="26"/>
              </w:rPr>
            </w:pPr>
          </w:p>
          <w:p w14:paraId="1F951ECA" w14:textId="77777777" w:rsidR="007555F6" w:rsidRDefault="007555F6" w:rsidP="007555F6">
            <w:pPr>
              <w:jc w:val="both"/>
              <w:rPr>
                <w:rFonts w:ascii="標楷體" w:eastAsia="標楷體" w:hAnsi="標楷體"/>
                <w:sz w:val="26"/>
                <w:szCs w:val="26"/>
              </w:rPr>
            </w:pPr>
          </w:p>
          <w:p w14:paraId="36CB00CD" w14:textId="77777777" w:rsidR="00C126BA" w:rsidRDefault="00C126BA" w:rsidP="007555F6">
            <w:pPr>
              <w:jc w:val="both"/>
              <w:rPr>
                <w:rFonts w:ascii="標楷體" w:eastAsia="標楷體" w:hAnsi="標楷體"/>
                <w:sz w:val="26"/>
                <w:szCs w:val="26"/>
              </w:rPr>
            </w:pPr>
          </w:p>
          <w:p w14:paraId="24EA9503" w14:textId="77777777" w:rsidR="00C126BA" w:rsidRDefault="00C126BA" w:rsidP="007555F6">
            <w:pPr>
              <w:jc w:val="both"/>
              <w:rPr>
                <w:rFonts w:ascii="標楷體" w:eastAsia="標楷體" w:hAnsi="標楷體"/>
                <w:sz w:val="26"/>
                <w:szCs w:val="26"/>
              </w:rPr>
            </w:pPr>
          </w:p>
          <w:p w14:paraId="56635414" w14:textId="77777777" w:rsidR="00C126BA" w:rsidRPr="00C126BA" w:rsidRDefault="00C126BA" w:rsidP="007555F6">
            <w:pPr>
              <w:jc w:val="both"/>
              <w:rPr>
                <w:rFonts w:ascii="標楷體" w:eastAsia="標楷體" w:hAnsi="標楷體"/>
                <w:sz w:val="26"/>
                <w:szCs w:val="26"/>
              </w:rPr>
            </w:pPr>
          </w:p>
          <w:p w14:paraId="3B9D61C0" w14:textId="77777777" w:rsidR="007555F6" w:rsidRPr="00C126BA" w:rsidRDefault="007555F6" w:rsidP="007555F6">
            <w:pPr>
              <w:jc w:val="both"/>
              <w:rPr>
                <w:rFonts w:ascii="標楷體" w:eastAsia="標楷體" w:hAnsi="標楷體"/>
                <w:sz w:val="26"/>
                <w:szCs w:val="26"/>
              </w:rPr>
            </w:pPr>
          </w:p>
          <w:p w14:paraId="1FBBDE77" w14:textId="77777777" w:rsidR="007555F6" w:rsidRPr="00C126BA" w:rsidRDefault="007555F6" w:rsidP="007555F6">
            <w:pPr>
              <w:jc w:val="both"/>
              <w:rPr>
                <w:rFonts w:ascii="標楷體" w:eastAsia="標楷體" w:hAnsi="標楷體"/>
                <w:sz w:val="26"/>
                <w:szCs w:val="26"/>
              </w:rPr>
            </w:pPr>
          </w:p>
          <w:p w14:paraId="05523B4C" w14:textId="77777777" w:rsidR="007555F6" w:rsidRPr="00C126BA" w:rsidRDefault="007555F6">
            <w:pPr>
              <w:rPr>
                <w:rFonts w:ascii="標楷體" w:eastAsia="標楷體" w:hAnsi="標楷體"/>
              </w:rPr>
            </w:pPr>
          </w:p>
        </w:tc>
      </w:tr>
      <w:tr w:rsidR="005836A0" w:rsidRPr="005836A0" w14:paraId="0BE49976" w14:textId="77777777" w:rsidTr="00352906">
        <w:trPr>
          <w:trHeight w:val="313"/>
        </w:trPr>
        <w:tc>
          <w:tcPr>
            <w:tcW w:w="9694" w:type="dxa"/>
            <w:gridSpan w:val="3"/>
          </w:tcPr>
          <w:p w14:paraId="7017579E" w14:textId="77777777" w:rsidR="007555F6" w:rsidRPr="005836A0" w:rsidRDefault="007555F6">
            <w:pPr>
              <w:rPr>
                <w:rFonts w:ascii="標楷體" w:eastAsia="標楷體" w:hAnsi="標楷體"/>
                <w:sz w:val="26"/>
                <w:szCs w:val="26"/>
              </w:rPr>
            </w:pPr>
          </w:p>
          <w:p w14:paraId="4A892F33" w14:textId="77777777" w:rsidR="007555F6" w:rsidRPr="005836A0" w:rsidRDefault="007555F6">
            <w:pPr>
              <w:rPr>
                <w:rFonts w:ascii="標楷體" w:eastAsia="標楷體" w:hAnsi="標楷體"/>
              </w:rPr>
            </w:pPr>
            <w:r w:rsidRPr="005836A0">
              <w:rPr>
                <w:rFonts w:ascii="標楷體" w:eastAsia="標楷體" w:hAnsi="標楷體" w:hint="eastAsia"/>
                <w:sz w:val="26"/>
                <w:szCs w:val="26"/>
              </w:rPr>
              <w:t>總分：</w:t>
            </w:r>
            <w:r w:rsidRPr="005836A0">
              <w:rPr>
                <w:rFonts w:ascii="標楷體" w:eastAsia="標楷體" w:hAnsi="標楷體" w:hint="eastAsia"/>
                <w:sz w:val="26"/>
                <w:szCs w:val="26"/>
                <w:u w:val="single"/>
              </w:rPr>
              <w:t xml:space="preserve">         </w:t>
            </w:r>
          </w:p>
        </w:tc>
      </w:tr>
    </w:tbl>
    <w:p w14:paraId="5BE006DA" w14:textId="77777777" w:rsidR="007555F6" w:rsidRPr="005836A0" w:rsidRDefault="007555F6" w:rsidP="007555F6">
      <w:pPr>
        <w:rPr>
          <w:rFonts w:ascii="標楷體" w:eastAsia="標楷體" w:hAnsi="標楷體"/>
          <w:sz w:val="32"/>
          <w:szCs w:val="32"/>
          <w:u w:val="single"/>
        </w:rPr>
      </w:pPr>
      <w:r w:rsidRPr="005836A0">
        <w:rPr>
          <w:rFonts w:ascii="標楷體" w:eastAsia="標楷體" w:hAnsi="標楷體" w:hint="eastAsia"/>
          <w:sz w:val="32"/>
          <w:szCs w:val="32"/>
        </w:rPr>
        <w:t>委員簽名：</w:t>
      </w:r>
      <w:r w:rsidRPr="005836A0">
        <w:rPr>
          <w:rFonts w:ascii="標楷體" w:eastAsia="標楷體" w:hAnsi="標楷體" w:hint="eastAsia"/>
          <w:sz w:val="32"/>
          <w:szCs w:val="32"/>
          <w:u w:val="single"/>
        </w:rPr>
        <w:t xml:space="preserve">         </w:t>
      </w:r>
    </w:p>
    <w:p w14:paraId="3C73C1DF" w14:textId="77777777" w:rsidR="00A60FB2" w:rsidRPr="005836A0" w:rsidRDefault="007555F6" w:rsidP="00626AA1">
      <w:pPr>
        <w:jc w:val="center"/>
        <w:rPr>
          <w:rFonts w:ascii="標楷體" w:eastAsia="標楷體" w:hAnsi="標楷體"/>
          <w:sz w:val="32"/>
          <w:szCs w:val="32"/>
        </w:rPr>
      </w:pPr>
      <w:r w:rsidRPr="005836A0">
        <w:rPr>
          <w:rFonts w:ascii="標楷體" w:eastAsia="標楷體" w:hAnsi="標楷體" w:hint="eastAsia"/>
          <w:sz w:val="32"/>
          <w:szCs w:val="32"/>
        </w:rPr>
        <w:t>中 華 民 國</w:t>
      </w:r>
      <w:r w:rsidRPr="005836A0">
        <w:rPr>
          <w:rFonts w:ascii="標楷體" w:eastAsia="標楷體" w:hAnsi="標楷體" w:hint="eastAsia"/>
          <w:sz w:val="32"/>
          <w:szCs w:val="32"/>
          <w:u w:val="single"/>
        </w:rPr>
        <w:t xml:space="preserve">    </w:t>
      </w:r>
      <w:r w:rsidRPr="005836A0">
        <w:rPr>
          <w:rFonts w:ascii="標楷體" w:eastAsia="標楷體" w:hAnsi="標楷體" w:hint="eastAsia"/>
          <w:sz w:val="32"/>
          <w:szCs w:val="32"/>
        </w:rPr>
        <w:t>年</w:t>
      </w:r>
      <w:r w:rsidRPr="005836A0">
        <w:rPr>
          <w:rFonts w:ascii="標楷體" w:eastAsia="標楷體" w:hAnsi="標楷體" w:hint="eastAsia"/>
          <w:sz w:val="32"/>
          <w:szCs w:val="32"/>
          <w:u w:val="single"/>
        </w:rPr>
        <w:t xml:space="preserve">    </w:t>
      </w:r>
      <w:r w:rsidRPr="005836A0">
        <w:rPr>
          <w:rFonts w:ascii="標楷體" w:eastAsia="標楷體" w:hAnsi="標楷體" w:hint="eastAsia"/>
          <w:sz w:val="32"/>
          <w:szCs w:val="32"/>
        </w:rPr>
        <w:t>月</w:t>
      </w:r>
      <w:r w:rsidRPr="005836A0">
        <w:rPr>
          <w:rFonts w:ascii="標楷體" w:eastAsia="標楷體" w:hAnsi="標楷體" w:hint="eastAsia"/>
          <w:sz w:val="32"/>
          <w:szCs w:val="32"/>
          <w:u w:val="single"/>
        </w:rPr>
        <w:t xml:space="preserve">    </w:t>
      </w:r>
      <w:r w:rsidRPr="005836A0">
        <w:rPr>
          <w:rFonts w:ascii="標楷體" w:eastAsia="標楷體" w:hAnsi="標楷體" w:hint="eastAsia"/>
          <w:sz w:val="32"/>
          <w:szCs w:val="32"/>
        </w:rPr>
        <w:t>日</w:t>
      </w:r>
    </w:p>
    <w:sectPr w:rsidR="00A60FB2" w:rsidRPr="005836A0" w:rsidSect="00C702CA">
      <w:footerReference w:type="default" r:id="rId8"/>
      <w:pgSz w:w="11906" w:h="16838"/>
      <w:pgMar w:top="851" w:right="1134" w:bottom="851" w:left="1134" w:header="851" w:footer="7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5293" w14:textId="77777777" w:rsidR="00DC5E9A" w:rsidRDefault="00DC5E9A" w:rsidP="00DC5E9A">
      <w:r>
        <w:separator/>
      </w:r>
    </w:p>
  </w:endnote>
  <w:endnote w:type="continuationSeparator" w:id="0">
    <w:p w14:paraId="42250155" w14:textId="77777777" w:rsidR="00DC5E9A" w:rsidRDefault="00DC5E9A" w:rsidP="00DC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3936"/>
      <w:docPartObj>
        <w:docPartGallery w:val="Page Numbers (Bottom of Page)"/>
        <w:docPartUnique/>
      </w:docPartObj>
    </w:sdtPr>
    <w:sdtEndPr/>
    <w:sdtContent>
      <w:p w14:paraId="3FC7A869" w14:textId="77777777" w:rsidR="00C702CA" w:rsidRDefault="00C702CA" w:rsidP="00C702CA">
        <w:pPr>
          <w:pStyle w:val="a9"/>
          <w:jc w:val="center"/>
        </w:pPr>
        <w:r>
          <w:fldChar w:fldCharType="begin"/>
        </w:r>
        <w:r>
          <w:instrText>PAGE   \* MERGEFORMAT</w:instrText>
        </w:r>
        <w:r>
          <w:fldChar w:fldCharType="separate"/>
        </w:r>
        <w:r w:rsidR="00C126BA" w:rsidRPr="00C126BA">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AA4B" w14:textId="77777777" w:rsidR="00DC5E9A" w:rsidRDefault="00DC5E9A" w:rsidP="00DC5E9A">
      <w:r>
        <w:separator/>
      </w:r>
    </w:p>
  </w:footnote>
  <w:footnote w:type="continuationSeparator" w:id="0">
    <w:p w14:paraId="65D8AB1B" w14:textId="77777777" w:rsidR="00DC5E9A" w:rsidRDefault="00DC5E9A" w:rsidP="00DC5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6E5"/>
    <w:multiLevelType w:val="hybridMultilevel"/>
    <w:tmpl w:val="6CA218D2"/>
    <w:lvl w:ilvl="0" w:tplc="59E04BBC">
      <w:start w:val="1"/>
      <w:numFmt w:val="decimal"/>
      <w:lvlText w:val="(%1)"/>
      <w:lvlJc w:val="left"/>
      <w:pPr>
        <w:ind w:left="795" w:hanging="435"/>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A311C"/>
    <w:multiLevelType w:val="hybridMultilevel"/>
    <w:tmpl w:val="FE16474A"/>
    <w:lvl w:ilvl="0" w:tplc="2A38FEAA">
      <w:start w:val="1"/>
      <w:numFmt w:val="decimal"/>
      <w:lvlText w:val="(%1)"/>
      <w:lvlJc w:val="left"/>
      <w:pPr>
        <w:ind w:left="795" w:hanging="435"/>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62F06"/>
    <w:multiLevelType w:val="hybridMultilevel"/>
    <w:tmpl w:val="CDA2559E"/>
    <w:lvl w:ilvl="0" w:tplc="E6FE3FB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9404A"/>
    <w:multiLevelType w:val="hybridMultilevel"/>
    <w:tmpl w:val="43BAA8EE"/>
    <w:lvl w:ilvl="0" w:tplc="38DE08CA">
      <w:start w:val="1"/>
      <w:numFmt w:val="decimal"/>
      <w:lvlText w:val="(%1)"/>
      <w:lvlJc w:val="left"/>
      <w:pPr>
        <w:ind w:left="840" w:hanging="480"/>
      </w:pPr>
      <w:rPr>
        <w:rFonts w:ascii="標楷體" w:eastAsia="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1DE1793"/>
    <w:multiLevelType w:val="hybridMultilevel"/>
    <w:tmpl w:val="2B76A860"/>
    <w:lvl w:ilvl="0" w:tplc="8B500926">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C1F7D9C"/>
    <w:multiLevelType w:val="hybridMultilevel"/>
    <w:tmpl w:val="43C2F708"/>
    <w:lvl w:ilvl="0" w:tplc="BE24FA1A">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5138AB"/>
    <w:multiLevelType w:val="hybridMultilevel"/>
    <w:tmpl w:val="09124224"/>
    <w:lvl w:ilvl="0" w:tplc="C456B9EA">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B45CB"/>
    <w:multiLevelType w:val="hybridMultilevel"/>
    <w:tmpl w:val="13D64134"/>
    <w:lvl w:ilvl="0" w:tplc="2FE494D2">
      <w:start w:val="1"/>
      <w:numFmt w:val="decimal"/>
      <w:lvlText w:val="(%1)"/>
      <w:lvlJc w:val="left"/>
      <w:pPr>
        <w:ind w:left="605" w:hanging="480"/>
      </w:pPr>
      <w:rPr>
        <w:rFonts w:hint="default"/>
      </w:rPr>
    </w:lvl>
    <w:lvl w:ilvl="1" w:tplc="2FE494D2">
      <w:start w:val="1"/>
      <w:numFmt w:val="decimal"/>
      <w:lvlText w:val="(%2)"/>
      <w:lvlJc w:val="left"/>
      <w:pPr>
        <w:ind w:left="1085" w:hanging="480"/>
      </w:pPr>
      <w:rPr>
        <w:rFonts w:hint="default"/>
      </w:r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15:restartNumberingAfterBreak="0">
    <w:nsid w:val="2DE308C1"/>
    <w:multiLevelType w:val="hybridMultilevel"/>
    <w:tmpl w:val="0A0CD79C"/>
    <w:lvl w:ilvl="0" w:tplc="6D3AEC00">
      <w:start w:val="1"/>
      <w:numFmt w:val="decimal"/>
      <w:lvlText w:val="(%1)"/>
      <w:lvlJc w:val="left"/>
      <w:pPr>
        <w:ind w:left="795" w:hanging="435"/>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BC6F2F"/>
    <w:multiLevelType w:val="hybridMultilevel"/>
    <w:tmpl w:val="1916E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2F3882"/>
    <w:multiLevelType w:val="hybridMultilevel"/>
    <w:tmpl w:val="1F0C87B4"/>
    <w:lvl w:ilvl="0" w:tplc="9A0672A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F5537F"/>
    <w:multiLevelType w:val="hybridMultilevel"/>
    <w:tmpl w:val="FE16474A"/>
    <w:lvl w:ilvl="0" w:tplc="2A38FEAA">
      <w:start w:val="1"/>
      <w:numFmt w:val="decimal"/>
      <w:lvlText w:val="(%1)"/>
      <w:lvlJc w:val="left"/>
      <w:pPr>
        <w:ind w:left="795" w:hanging="435"/>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D14C1F"/>
    <w:multiLevelType w:val="hybridMultilevel"/>
    <w:tmpl w:val="4FC80AAC"/>
    <w:lvl w:ilvl="0" w:tplc="A22A9E16">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854C6C"/>
    <w:multiLevelType w:val="hybridMultilevel"/>
    <w:tmpl w:val="43C2F708"/>
    <w:lvl w:ilvl="0" w:tplc="BE24FA1A">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68265E"/>
    <w:multiLevelType w:val="hybridMultilevel"/>
    <w:tmpl w:val="9856C958"/>
    <w:lvl w:ilvl="0" w:tplc="BF2C78A6">
      <w:start w:val="1"/>
      <w:numFmt w:val="decimal"/>
      <w:lvlText w:val="%1."/>
      <w:lvlJc w:val="left"/>
      <w:pPr>
        <w:ind w:left="360" w:hanging="360"/>
      </w:pPr>
      <w:rPr>
        <w:rFonts w:hint="default"/>
        <w:b w:val="0"/>
        <w:color w:val="auto"/>
      </w:rPr>
    </w:lvl>
    <w:lvl w:ilvl="1" w:tplc="8B50092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CC1A55"/>
    <w:multiLevelType w:val="hybridMultilevel"/>
    <w:tmpl w:val="EDD23E94"/>
    <w:lvl w:ilvl="0" w:tplc="04090001">
      <w:start w:val="1"/>
      <w:numFmt w:val="bullet"/>
      <w:lvlText w:val=""/>
      <w:lvlJc w:val="left"/>
      <w:pPr>
        <w:ind w:left="1256" w:hanging="480"/>
      </w:pPr>
      <w:rPr>
        <w:rFonts w:ascii="Wingdings" w:hAnsi="Wingdings" w:hint="default"/>
      </w:rPr>
    </w:lvl>
    <w:lvl w:ilvl="1" w:tplc="04090003">
      <w:start w:val="1"/>
      <w:numFmt w:val="bullet"/>
      <w:lvlText w:val=""/>
      <w:lvlJc w:val="left"/>
      <w:pPr>
        <w:ind w:left="1736" w:hanging="480"/>
      </w:pPr>
      <w:rPr>
        <w:rFonts w:ascii="Wingdings" w:hAnsi="Wingdings" w:hint="default"/>
      </w:rPr>
    </w:lvl>
    <w:lvl w:ilvl="2" w:tplc="04090005">
      <w:start w:val="1"/>
      <w:numFmt w:val="bullet"/>
      <w:lvlText w:val=""/>
      <w:lvlJc w:val="left"/>
      <w:pPr>
        <w:ind w:left="2216" w:hanging="480"/>
      </w:pPr>
      <w:rPr>
        <w:rFonts w:ascii="Wingdings" w:hAnsi="Wingdings" w:hint="default"/>
      </w:rPr>
    </w:lvl>
    <w:lvl w:ilvl="3" w:tplc="04090001" w:tentative="1">
      <w:start w:val="1"/>
      <w:numFmt w:val="bullet"/>
      <w:lvlText w:val=""/>
      <w:lvlJc w:val="left"/>
      <w:pPr>
        <w:ind w:left="2696" w:hanging="480"/>
      </w:pPr>
      <w:rPr>
        <w:rFonts w:ascii="Wingdings" w:hAnsi="Wingdings" w:hint="default"/>
      </w:rPr>
    </w:lvl>
    <w:lvl w:ilvl="4" w:tplc="04090003" w:tentative="1">
      <w:start w:val="1"/>
      <w:numFmt w:val="bullet"/>
      <w:lvlText w:val=""/>
      <w:lvlJc w:val="left"/>
      <w:pPr>
        <w:ind w:left="3176" w:hanging="480"/>
      </w:pPr>
      <w:rPr>
        <w:rFonts w:ascii="Wingdings" w:hAnsi="Wingdings" w:hint="default"/>
      </w:rPr>
    </w:lvl>
    <w:lvl w:ilvl="5" w:tplc="04090005" w:tentative="1">
      <w:start w:val="1"/>
      <w:numFmt w:val="bullet"/>
      <w:lvlText w:val=""/>
      <w:lvlJc w:val="left"/>
      <w:pPr>
        <w:ind w:left="3656" w:hanging="480"/>
      </w:pPr>
      <w:rPr>
        <w:rFonts w:ascii="Wingdings" w:hAnsi="Wingdings" w:hint="default"/>
      </w:rPr>
    </w:lvl>
    <w:lvl w:ilvl="6" w:tplc="04090001" w:tentative="1">
      <w:start w:val="1"/>
      <w:numFmt w:val="bullet"/>
      <w:lvlText w:val=""/>
      <w:lvlJc w:val="left"/>
      <w:pPr>
        <w:ind w:left="4136" w:hanging="480"/>
      </w:pPr>
      <w:rPr>
        <w:rFonts w:ascii="Wingdings" w:hAnsi="Wingdings" w:hint="default"/>
      </w:rPr>
    </w:lvl>
    <w:lvl w:ilvl="7" w:tplc="04090003" w:tentative="1">
      <w:start w:val="1"/>
      <w:numFmt w:val="bullet"/>
      <w:lvlText w:val=""/>
      <w:lvlJc w:val="left"/>
      <w:pPr>
        <w:ind w:left="4616" w:hanging="480"/>
      </w:pPr>
      <w:rPr>
        <w:rFonts w:ascii="Wingdings" w:hAnsi="Wingdings" w:hint="default"/>
      </w:rPr>
    </w:lvl>
    <w:lvl w:ilvl="8" w:tplc="04090005" w:tentative="1">
      <w:start w:val="1"/>
      <w:numFmt w:val="bullet"/>
      <w:lvlText w:val=""/>
      <w:lvlJc w:val="left"/>
      <w:pPr>
        <w:ind w:left="5096" w:hanging="480"/>
      </w:pPr>
      <w:rPr>
        <w:rFonts w:ascii="Wingdings" w:hAnsi="Wingdings" w:hint="default"/>
      </w:rPr>
    </w:lvl>
  </w:abstractNum>
  <w:abstractNum w:abstractNumId="16" w15:restartNumberingAfterBreak="0">
    <w:nsid w:val="397D2461"/>
    <w:multiLevelType w:val="hybridMultilevel"/>
    <w:tmpl w:val="FC362650"/>
    <w:lvl w:ilvl="0" w:tplc="498E4BB6">
      <w:start w:val="1"/>
      <w:numFmt w:val="decimal"/>
      <w:lvlText w:val="%1."/>
      <w:lvlJc w:val="left"/>
      <w:pPr>
        <w:ind w:left="360" w:hanging="360"/>
      </w:pPr>
      <w:rPr>
        <w:rFonts w:hint="default"/>
        <w:color w:val="auto"/>
      </w:rPr>
    </w:lvl>
    <w:lvl w:ilvl="1" w:tplc="8B50092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52336"/>
    <w:multiLevelType w:val="hybridMultilevel"/>
    <w:tmpl w:val="25CC58A0"/>
    <w:lvl w:ilvl="0" w:tplc="2FE494D2">
      <w:start w:val="1"/>
      <w:numFmt w:val="decimal"/>
      <w:lvlText w:val="(%1)"/>
      <w:lvlJc w:val="left"/>
      <w:pPr>
        <w:ind w:left="10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F64FD3"/>
    <w:multiLevelType w:val="hybridMultilevel"/>
    <w:tmpl w:val="FE16474A"/>
    <w:lvl w:ilvl="0" w:tplc="2A38FEAA">
      <w:start w:val="1"/>
      <w:numFmt w:val="decimal"/>
      <w:lvlText w:val="(%1)"/>
      <w:lvlJc w:val="left"/>
      <w:pPr>
        <w:ind w:left="795" w:hanging="435"/>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9A05EC"/>
    <w:multiLevelType w:val="hybridMultilevel"/>
    <w:tmpl w:val="617ADA1C"/>
    <w:lvl w:ilvl="0" w:tplc="0409000F">
      <w:start w:val="1"/>
      <w:numFmt w:val="decimal"/>
      <w:lvlText w:val="%1."/>
      <w:lvlJc w:val="left"/>
      <w:pPr>
        <w:ind w:left="360" w:hanging="360"/>
      </w:pPr>
      <w:rPr>
        <w:rFonts w:hint="default"/>
      </w:rPr>
    </w:lvl>
    <w:lvl w:ilvl="1" w:tplc="8B5009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DB6611"/>
    <w:multiLevelType w:val="hybridMultilevel"/>
    <w:tmpl w:val="FE16474A"/>
    <w:lvl w:ilvl="0" w:tplc="2A38FEAA">
      <w:start w:val="1"/>
      <w:numFmt w:val="decimal"/>
      <w:lvlText w:val="(%1)"/>
      <w:lvlJc w:val="left"/>
      <w:pPr>
        <w:ind w:left="795" w:hanging="435"/>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7031E0"/>
    <w:multiLevelType w:val="hybridMultilevel"/>
    <w:tmpl w:val="67A6CF72"/>
    <w:lvl w:ilvl="0" w:tplc="80FCE766">
      <w:start w:val="1"/>
      <w:numFmt w:val="decimal"/>
      <w:lvlText w:val="%1."/>
      <w:lvlJc w:val="left"/>
      <w:pPr>
        <w:ind w:left="360" w:hanging="360"/>
      </w:pPr>
      <w:rPr>
        <w:rFonts w:hint="default"/>
      </w:rPr>
    </w:lvl>
    <w:lvl w:ilvl="1" w:tplc="97FC0E92">
      <w:start w:val="1"/>
      <w:numFmt w:val="decimal"/>
      <w:lvlText w:val="(%2)"/>
      <w:lvlJc w:val="left"/>
      <w:pPr>
        <w:ind w:left="960" w:hanging="480"/>
      </w:pPr>
      <w:rPr>
        <w:rFonts w:hint="default"/>
      </w:rPr>
    </w:lvl>
    <w:lvl w:ilvl="2" w:tplc="9A0672AA">
      <w:start w:val="1"/>
      <w:numFmt w:val="ideograph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51568914">
    <w:abstractNumId w:val="9"/>
  </w:num>
  <w:num w:numId="2" w16cid:durableId="1368873237">
    <w:abstractNumId w:val="19"/>
  </w:num>
  <w:num w:numId="3" w16cid:durableId="1963949736">
    <w:abstractNumId w:val="7"/>
  </w:num>
  <w:num w:numId="4" w16cid:durableId="1596402698">
    <w:abstractNumId w:val="15"/>
  </w:num>
  <w:num w:numId="5" w16cid:durableId="237372529">
    <w:abstractNumId w:val="3"/>
  </w:num>
  <w:num w:numId="6" w16cid:durableId="1667974073">
    <w:abstractNumId w:val="21"/>
  </w:num>
  <w:num w:numId="7" w16cid:durableId="1975669396">
    <w:abstractNumId w:val="14"/>
  </w:num>
  <w:num w:numId="8" w16cid:durableId="1362045876">
    <w:abstractNumId w:val="16"/>
  </w:num>
  <w:num w:numId="9" w16cid:durableId="263922881">
    <w:abstractNumId w:val="12"/>
  </w:num>
  <w:num w:numId="10" w16cid:durableId="1187252027">
    <w:abstractNumId w:val="6"/>
  </w:num>
  <w:num w:numId="11" w16cid:durableId="851381669">
    <w:abstractNumId w:val="13"/>
  </w:num>
  <w:num w:numId="12" w16cid:durableId="203447045">
    <w:abstractNumId w:val="8"/>
  </w:num>
  <w:num w:numId="13" w16cid:durableId="1531531089">
    <w:abstractNumId w:val="11"/>
  </w:num>
  <w:num w:numId="14" w16cid:durableId="1704598120">
    <w:abstractNumId w:val="2"/>
  </w:num>
  <w:num w:numId="15" w16cid:durableId="1044452632">
    <w:abstractNumId w:val="0"/>
  </w:num>
  <w:num w:numId="16" w16cid:durableId="862667562">
    <w:abstractNumId w:val="4"/>
  </w:num>
  <w:num w:numId="17" w16cid:durableId="957491972">
    <w:abstractNumId w:val="18"/>
  </w:num>
  <w:num w:numId="18" w16cid:durableId="351108961">
    <w:abstractNumId w:val="17"/>
  </w:num>
  <w:num w:numId="19" w16cid:durableId="704794009">
    <w:abstractNumId w:val="5"/>
  </w:num>
  <w:num w:numId="20" w16cid:durableId="1042292813">
    <w:abstractNumId w:val="10"/>
  </w:num>
  <w:num w:numId="21" w16cid:durableId="684210985">
    <w:abstractNumId w:val="20"/>
  </w:num>
  <w:num w:numId="22" w16cid:durableId="114681714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B28"/>
    <w:rsid w:val="00095661"/>
    <w:rsid w:val="00136D4A"/>
    <w:rsid w:val="001552D2"/>
    <w:rsid w:val="001A5C31"/>
    <w:rsid w:val="001F0D0D"/>
    <w:rsid w:val="00222025"/>
    <w:rsid w:val="002334CB"/>
    <w:rsid w:val="00274CEB"/>
    <w:rsid w:val="00275E23"/>
    <w:rsid w:val="00293664"/>
    <w:rsid w:val="002A5808"/>
    <w:rsid w:val="003D7DA9"/>
    <w:rsid w:val="00401C60"/>
    <w:rsid w:val="00414DC7"/>
    <w:rsid w:val="00483049"/>
    <w:rsid w:val="004A144C"/>
    <w:rsid w:val="004B0111"/>
    <w:rsid w:val="004D7DA1"/>
    <w:rsid w:val="004D7EFC"/>
    <w:rsid w:val="00507CB3"/>
    <w:rsid w:val="00511DA7"/>
    <w:rsid w:val="00565DB6"/>
    <w:rsid w:val="005836A0"/>
    <w:rsid w:val="0060616C"/>
    <w:rsid w:val="00626AA1"/>
    <w:rsid w:val="00637863"/>
    <w:rsid w:val="00647A22"/>
    <w:rsid w:val="006811B1"/>
    <w:rsid w:val="006C55BA"/>
    <w:rsid w:val="006C650F"/>
    <w:rsid w:val="00730E78"/>
    <w:rsid w:val="007357F6"/>
    <w:rsid w:val="007555F6"/>
    <w:rsid w:val="007B0AE7"/>
    <w:rsid w:val="00846AA2"/>
    <w:rsid w:val="0092598A"/>
    <w:rsid w:val="0094462F"/>
    <w:rsid w:val="00985421"/>
    <w:rsid w:val="009872FF"/>
    <w:rsid w:val="009D1A22"/>
    <w:rsid w:val="009F518E"/>
    <w:rsid w:val="00A1662F"/>
    <w:rsid w:val="00A24A4B"/>
    <w:rsid w:val="00A60FB2"/>
    <w:rsid w:val="00AC1965"/>
    <w:rsid w:val="00AD1E8F"/>
    <w:rsid w:val="00B67753"/>
    <w:rsid w:val="00B84571"/>
    <w:rsid w:val="00BD5678"/>
    <w:rsid w:val="00C126BA"/>
    <w:rsid w:val="00C702CA"/>
    <w:rsid w:val="00D515C8"/>
    <w:rsid w:val="00DC5E9A"/>
    <w:rsid w:val="00E05CFA"/>
    <w:rsid w:val="00E14B5D"/>
    <w:rsid w:val="00E50F2D"/>
    <w:rsid w:val="00E81B28"/>
    <w:rsid w:val="00EA733D"/>
    <w:rsid w:val="00F250B0"/>
    <w:rsid w:val="00F26B0C"/>
    <w:rsid w:val="00FD0EB0"/>
    <w:rsid w:val="00FE3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CEFC1A"/>
  <w15:docId w15:val="{4D58B432-E89A-4450-82D1-9EC98B08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B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1B28"/>
    <w:pPr>
      <w:ind w:leftChars="200" w:left="480"/>
    </w:pPr>
  </w:style>
  <w:style w:type="paragraph" w:styleId="a5">
    <w:name w:val="header"/>
    <w:basedOn w:val="a"/>
    <w:link w:val="a6"/>
    <w:uiPriority w:val="99"/>
    <w:unhideWhenUsed/>
    <w:rsid w:val="00E81B28"/>
    <w:pPr>
      <w:tabs>
        <w:tab w:val="center" w:pos="4153"/>
        <w:tab w:val="right" w:pos="8306"/>
      </w:tabs>
      <w:snapToGrid w:val="0"/>
    </w:pPr>
    <w:rPr>
      <w:sz w:val="20"/>
      <w:szCs w:val="20"/>
    </w:rPr>
  </w:style>
  <w:style w:type="character" w:customStyle="1" w:styleId="a6">
    <w:name w:val="頁首 字元"/>
    <w:basedOn w:val="a0"/>
    <w:link w:val="a5"/>
    <w:uiPriority w:val="99"/>
    <w:rsid w:val="00E81B28"/>
    <w:rPr>
      <w:sz w:val="20"/>
      <w:szCs w:val="20"/>
    </w:rPr>
  </w:style>
  <w:style w:type="paragraph" w:styleId="a7">
    <w:name w:val="Balloon Text"/>
    <w:basedOn w:val="a"/>
    <w:link w:val="a8"/>
    <w:uiPriority w:val="99"/>
    <w:semiHidden/>
    <w:unhideWhenUsed/>
    <w:rsid w:val="00E14B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14B5D"/>
    <w:rPr>
      <w:rFonts w:asciiTheme="majorHAnsi" w:eastAsiaTheme="majorEastAsia" w:hAnsiTheme="majorHAnsi" w:cstheme="majorBidi"/>
      <w:sz w:val="18"/>
      <w:szCs w:val="18"/>
    </w:rPr>
  </w:style>
  <w:style w:type="paragraph" w:styleId="a9">
    <w:name w:val="footer"/>
    <w:basedOn w:val="a"/>
    <w:link w:val="aa"/>
    <w:uiPriority w:val="99"/>
    <w:unhideWhenUsed/>
    <w:rsid w:val="00DC5E9A"/>
    <w:pPr>
      <w:tabs>
        <w:tab w:val="center" w:pos="4153"/>
        <w:tab w:val="right" w:pos="8306"/>
      </w:tabs>
      <w:snapToGrid w:val="0"/>
    </w:pPr>
    <w:rPr>
      <w:sz w:val="20"/>
      <w:szCs w:val="20"/>
    </w:rPr>
  </w:style>
  <w:style w:type="character" w:customStyle="1" w:styleId="aa">
    <w:name w:val="頁尾 字元"/>
    <w:basedOn w:val="a0"/>
    <w:link w:val="a9"/>
    <w:uiPriority w:val="99"/>
    <w:rsid w:val="00DC5E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6A5E-7917-451C-B75C-324F411A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Yu-Ju Chen</cp:lastModifiedBy>
  <cp:revision>24</cp:revision>
  <cp:lastPrinted>2024-03-05T08:01:00Z</cp:lastPrinted>
  <dcterms:created xsi:type="dcterms:W3CDTF">2024-03-05T06:31:00Z</dcterms:created>
  <dcterms:modified xsi:type="dcterms:W3CDTF">2024-07-09T08:34:00Z</dcterms:modified>
</cp:coreProperties>
</file>