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DADC" w14:textId="3165316F" w:rsidR="00A406F6" w:rsidRPr="003F001C" w:rsidRDefault="003F001C" w:rsidP="00772A74">
      <w:pPr>
        <w:pStyle w:val="a4"/>
        <w:spacing w:line="360" w:lineRule="auto"/>
        <w:ind w:left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彰化縣</w:t>
      </w:r>
      <w:r w:rsidR="000754DD" w:rsidRPr="003F001C">
        <w:rPr>
          <w:rFonts w:ascii="標楷體" w:eastAsia="標楷體" w:hAnsi="標楷體"/>
          <w:spacing w:val="-1"/>
        </w:rPr>
        <w:t>住宿式長期照顧機構照顧品質查核輔導機制</w:t>
      </w:r>
    </w:p>
    <w:p w14:paraId="14F8C976" w14:textId="08218681" w:rsidR="00A406F6" w:rsidRPr="003F001C" w:rsidRDefault="000754DD" w:rsidP="00510081">
      <w:pPr>
        <w:pStyle w:val="a3"/>
        <w:numPr>
          <w:ilvl w:val="0"/>
          <w:numId w:val="2"/>
        </w:numPr>
        <w:spacing w:line="360" w:lineRule="auto"/>
        <w:ind w:left="578" w:hanging="578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3"/>
        </w:rPr>
        <w:t>依據</w:t>
      </w:r>
    </w:p>
    <w:p w14:paraId="1275EC20" w14:textId="1AA75A86" w:rsidR="00A406F6" w:rsidRPr="003F001C" w:rsidRDefault="000754DD" w:rsidP="003444AE">
      <w:pPr>
        <w:pStyle w:val="a3"/>
        <w:numPr>
          <w:ilvl w:val="0"/>
          <w:numId w:val="3"/>
        </w:numPr>
        <w:spacing w:line="360" w:lineRule="auto"/>
        <w:ind w:left="851" w:hanging="567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14"/>
        </w:rPr>
        <w:t>長期照顧服務法</w:t>
      </w:r>
      <w:r w:rsidRPr="003F001C">
        <w:rPr>
          <w:rFonts w:ascii="標楷體" w:eastAsia="標楷體" w:hAnsi="標楷體"/>
          <w:spacing w:val="-26"/>
        </w:rPr>
        <w:t>。</w:t>
      </w:r>
    </w:p>
    <w:p w14:paraId="25E2315E" w14:textId="218EED18" w:rsidR="003F001C" w:rsidRPr="00510081" w:rsidRDefault="000754DD" w:rsidP="003444AE">
      <w:pPr>
        <w:pStyle w:val="a3"/>
        <w:numPr>
          <w:ilvl w:val="0"/>
          <w:numId w:val="3"/>
        </w:numPr>
        <w:spacing w:line="360" w:lineRule="auto"/>
        <w:ind w:left="851" w:hanging="567"/>
        <w:rPr>
          <w:rFonts w:ascii="標楷體" w:eastAsia="標楷體" w:hAnsi="標楷體"/>
          <w:spacing w:val="-14"/>
        </w:rPr>
      </w:pPr>
      <w:r w:rsidRPr="00510081">
        <w:rPr>
          <w:rFonts w:ascii="標楷體" w:eastAsia="標楷體" w:hAnsi="標楷體"/>
          <w:spacing w:val="-14"/>
        </w:rPr>
        <w:t>長期照顧服務機構設立許可及管理辦法。</w:t>
      </w:r>
    </w:p>
    <w:p w14:paraId="0B257305" w14:textId="797CF11C" w:rsidR="00A406F6" w:rsidRPr="005617F5" w:rsidRDefault="000754DD" w:rsidP="003444AE">
      <w:pPr>
        <w:pStyle w:val="a3"/>
        <w:numPr>
          <w:ilvl w:val="0"/>
          <w:numId w:val="3"/>
        </w:numPr>
        <w:spacing w:line="360" w:lineRule="auto"/>
        <w:ind w:left="851" w:hanging="567"/>
        <w:rPr>
          <w:rFonts w:ascii="標楷體" w:eastAsia="標楷體" w:hAnsi="標楷體"/>
          <w:spacing w:val="-14"/>
        </w:rPr>
      </w:pPr>
      <w:r w:rsidRPr="005617F5">
        <w:rPr>
          <w:rFonts w:ascii="標楷體" w:eastAsia="標楷體" w:hAnsi="標楷體"/>
          <w:spacing w:val="-14"/>
        </w:rPr>
        <w:t>長期照顧服務機構設立標準。</w:t>
      </w:r>
    </w:p>
    <w:p w14:paraId="36BA4D1A" w14:textId="788A848F" w:rsidR="00A406F6" w:rsidRPr="00510081" w:rsidRDefault="000754DD" w:rsidP="00510081">
      <w:pPr>
        <w:pStyle w:val="a3"/>
        <w:numPr>
          <w:ilvl w:val="0"/>
          <w:numId w:val="2"/>
        </w:numPr>
        <w:spacing w:line="360" w:lineRule="auto"/>
        <w:ind w:left="578" w:hanging="578"/>
        <w:rPr>
          <w:rFonts w:ascii="標楷體" w:eastAsia="標楷體" w:hAnsi="標楷體"/>
          <w:spacing w:val="-3"/>
        </w:rPr>
      </w:pPr>
      <w:r w:rsidRPr="003F001C">
        <w:rPr>
          <w:rFonts w:ascii="標楷體" w:eastAsia="標楷體" w:hAnsi="標楷體"/>
          <w:spacing w:val="-3"/>
        </w:rPr>
        <w:t>目的</w:t>
      </w:r>
    </w:p>
    <w:p w14:paraId="5F148351" w14:textId="3C5863FF" w:rsidR="00A406F6" w:rsidRPr="003F001C" w:rsidRDefault="000754DD" w:rsidP="00C500A8">
      <w:pPr>
        <w:pStyle w:val="a3"/>
        <w:spacing w:line="360" w:lineRule="auto"/>
        <w:ind w:leftChars="200" w:left="440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2"/>
        </w:rPr>
        <w:t>為提升本</w:t>
      </w:r>
      <w:r w:rsidR="00DF70BD">
        <w:rPr>
          <w:rFonts w:ascii="標楷體" w:eastAsia="標楷體" w:hAnsi="標楷體" w:hint="eastAsia"/>
          <w:spacing w:val="-2"/>
        </w:rPr>
        <w:t>縣</w:t>
      </w:r>
      <w:r w:rsidRPr="003F001C">
        <w:rPr>
          <w:rFonts w:ascii="標楷體" w:eastAsia="標楷體" w:hAnsi="標楷體"/>
          <w:spacing w:val="-2"/>
        </w:rPr>
        <w:t>住宿式長照機構經營管理效能、強化專業照護服務之品質，藉由不預先通知查核機制，確認</w:t>
      </w:r>
      <w:r w:rsidR="00C500A8">
        <w:rPr>
          <w:rFonts w:ascii="標楷體" w:eastAsia="標楷體" w:hAnsi="標楷體" w:hint="eastAsia"/>
          <w:spacing w:val="-2"/>
        </w:rPr>
        <w:t>機構</w:t>
      </w:r>
      <w:r w:rsidRPr="003F001C">
        <w:rPr>
          <w:rFonts w:ascii="標楷體" w:eastAsia="標楷體" w:hAnsi="標楷體"/>
          <w:spacing w:val="-2"/>
        </w:rPr>
        <w:t>執行狀況</w:t>
      </w:r>
      <w:r w:rsidR="00C500A8" w:rsidRPr="00C500A8">
        <w:rPr>
          <w:rFonts w:ascii="標楷體" w:eastAsia="標楷體" w:hAnsi="標楷體" w:hint="eastAsia"/>
          <w:spacing w:val="-2"/>
        </w:rPr>
        <w:t>能符合相關法令及公共安全管理等規定</w:t>
      </w:r>
      <w:r w:rsidR="00C500A8">
        <w:rPr>
          <w:rFonts w:ascii="標楷體" w:eastAsia="標楷體" w:hAnsi="標楷體" w:hint="eastAsia"/>
          <w:spacing w:val="-2"/>
        </w:rPr>
        <w:t>，以維護長照服務</w:t>
      </w:r>
      <w:r w:rsidR="00C500A8" w:rsidRPr="003F001C">
        <w:rPr>
          <w:rFonts w:ascii="標楷體" w:eastAsia="標楷體" w:hAnsi="標楷體"/>
          <w:spacing w:val="-2"/>
        </w:rPr>
        <w:t>使用者</w:t>
      </w:r>
      <w:r w:rsidR="00C500A8">
        <w:rPr>
          <w:rFonts w:ascii="標楷體" w:eastAsia="標楷體" w:hAnsi="標楷體" w:hint="eastAsia"/>
          <w:spacing w:val="-2"/>
        </w:rPr>
        <w:t>安全及</w:t>
      </w:r>
      <w:r w:rsidR="00C500A8" w:rsidRPr="003F001C">
        <w:rPr>
          <w:rFonts w:ascii="標楷體" w:eastAsia="標楷體" w:hAnsi="標楷體"/>
          <w:spacing w:val="-2"/>
        </w:rPr>
        <w:t>權益</w:t>
      </w:r>
      <w:r w:rsidRPr="003F001C">
        <w:rPr>
          <w:rFonts w:ascii="標楷體" w:eastAsia="標楷體" w:hAnsi="標楷體"/>
          <w:spacing w:val="-6"/>
        </w:rPr>
        <w:t>。</w:t>
      </w:r>
    </w:p>
    <w:p w14:paraId="30FE99F6" w14:textId="058FCBCF" w:rsidR="00A406F6" w:rsidRPr="00510081" w:rsidRDefault="000754DD" w:rsidP="00510081">
      <w:pPr>
        <w:pStyle w:val="a3"/>
        <w:numPr>
          <w:ilvl w:val="0"/>
          <w:numId w:val="2"/>
        </w:numPr>
        <w:spacing w:line="360" w:lineRule="auto"/>
        <w:ind w:left="578" w:hanging="578"/>
        <w:rPr>
          <w:rFonts w:ascii="標楷體" w:eastAsia="標楷體" w:hAnsi="標楷體"/>
          <w:spacing w:val="-3"/>
        </w:rPr>
      </w:pPr>
      <w:r w:rsidRPr="00510081">
        <w:rPr>
          <w:rFonts w:ascii="標楷體" w:eastAsia="標楷體" w:hAnsi="標楷體"/>
          <w:spacing w:val="-3"/>
        </w:rPr>
        <w:t>查核機制</w:t>
      </w:r>
    </w:p>
    <w:p w14:paraId="70D099F4" w14:textId="20113E7A" w:rsidR="00A406F6" w:rsidRPr="003F001C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8"/>
        </w:rPr>
        <w:t>查核對象：</w:t>
      </w:r>
      <w:r w:rsidR="000A1F0F">
        <w:rPr>
          <w:rFonts w:ascii="標楷體" w:eastAsia="標楷體" w:hAnsi="標楷體" w:hint="eastAsia"/>
          <w:spacing w:val="-8"/>
        </w:rPr>
        <w:t>依長服法</w:t>
      </w:r>
      <w:r w:rsidRPr="003F001C">
        <w:rPr>
          <w:rFonts w:ascii="標楷體" w:eastAsia="標楷體" w:hAnsi="標楷體"/>
          <w:spacing w:val="-8"/>
        </w:rPr>
        <w:t>設立之住宿式服務類長照機構及含住宿式</w:t>
      </w:r>
      <w:r w:rsidRPr="003F001C">
        <w:rPr>
          <w:rFonts w:ascii="標楷體" w:eastAsia="標楷體" w:hAnsi="標楷體"/>
          <w:spacing w:val="-2"/>
        </w:rPr>
        <w:t>長照機構之綜合式服務類長照機構。</w:t>
      </w:r>
    </w:p>
    <w:p w14:paraId="0DAF1058" w14:textId="4C82AC44" w:rsidR="00A406F6" w:rsidRPr="0045585D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rPr>
          <w:rFonts w:ascii="標楷體" w:eastAsia="標楷體" w:hAnsi="標楷體"/>
          <w:spacing w:val="-8"/>
        </w:rPr>
      </w:pPr>
      <w:r w:rsidRPr="0045585D">
        <w:rPr>
          <w:rFonts w:ascii="標楷體" w:eastAsia="標楷體" w:hAnsi="標楷體"/>
          <w:spacing w:val="-8"/>
        </w:rPr>
        <w:t>執行期間：每年1月1日至12月31日。</w:t>
      </w:r>
    </w:p>
    <w:p w14:paraId="3D3AA924" w14:textId="435387CD" w:rsidR="00A406F6" w:rsidRPr="0045585D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rPr>
          <w:rFonts w:ascii="標楷體" w:eastAsia="標楷體" w:hAnsi="標楷體"/>
          <w:spacing w:val="-8"/>
        </w:rPr>
      </w:pPr>
      <w:r w:rsidRPr="0045585D">
        <w:rPr>
          <w:rFonts w:ascii="標楷體" w:eastAsia="標楷體" w:hAnsi="標楷體"/>
          <w:spacing w:val="-8"/>
        </w:rPr>
        <w:t>查核項目：</w:t>
      </w:r>
    </w:p>
    <w:p w14:paraId="63691331" w14:textId="676256F0" w:rsidR="00A406F6" w:rsidRPr="003F001C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12"/>
        </w:rPr>
        <w:t>人力配置</w:t>
      </w:r>
      <w:r w:rsidR="003D7DCD">
        <w:rPr>
          <w:rFonts w:ascii="標楷體" w:eastAsia="標楷體" w:hAnsi="標楷體" w:hint="eastAsia"/>
          <w:spacing w:val="-12"/>
        </w:rPr>
        <w:t>、</w:t>
      </w:r>
      <w:r w:rsidRPr="003F001C">
        <w:rPr>
          <w:rFonts w:ascii="標楷體" w:eastAsia="標楷體" w:hAnsi="標楷體"/>
          <w:spacing w:val="-12"/>
        </w:rPr>
        <w:t>人員訓練</w:t>
      </w:r>
      <w:r w:rsidR="003D7DCD">
        <w:rPr>
          <w:rFonts w:ascii="標楷體" w:eastAsia="標楷體" w:hAnsi="標楷體" w:hint="eastAsia"/>
          <w:spacing w:val="-12"/>
        </w:rPr>
        <w:t>及勞動條件</w:t>
      </w:r>
      <w:r w:rsidRPr="003F001C">
        <w:rPr>
          <w:rFonts w:ascii="標楷體" w:eastAsia="標楷體" w:hAnsi="標楷體"/>
          <w:spacing w:val="-12"/>
        </w:rPr>
        <w:t>。</w:t>
      </w:r>
    </w:p>
    <w:p w14:paraId="41F9D2B4" w14:textId="6238E604" w:rsidR="00A406F6" w:rsidRPr="0045585D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  <w:spacing w:val="-12"/>
        </w:rPr>
      </w:pPr>
      <w:r w:rsidRPr="0045585D">
        <w:rPr>
          <w:rFonts w:ascii="標楷體" w:eastAsia="標楷體" w:hAnsi="標楷體"/>
          <w:spacing w:val="-12"/>
        </w:rPr>
        <w:t>權益保障、契約、陳情申訴及服務紀錄。</w:t>
      </w:r>
    </w:p>
    <w:p w14:paraId="4B06E983" w14:textId="7AE45B47" w:rsidR="00A406F6" w:rsidRPr="0045585D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  <w:spacing w:val="-12"/>
        </w:rPr>
      </w:pPr>
      <w:r w:rsidRPr="0045585D">
        <w:rPr>
          <w:rFonts w:ascii="標楷體" w:eastAsia="標楷體" w:hAnsi="標楷體"/>
          <w:spacing w:val="-12"/>
        </w:rPr>
        <w:t>膳食管理、營運管理。</w:t>
      </w:r>
    </w:p>
    <w:p w14:paraId="2419310E" w14:textId="0710019F" w:rsidR="00A406F6" w:rsidRPr="0045585D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  <w:spacing w:val="-12"/>
        </w:rPr>
      </w:pPr>
      <w:r w:rsidRPr="003F001C">
        <w:rPr>
          <w:rFonts w:ascii="標楷體" w:eastAsia="標楷體" w:hAnsi="標楷體"/>
          <w:spacing w:val="-12"/>
        </w:rPr>
        <w:t>公共安全與設施</w:t>
      </w:r>
      <w:r w:rsidR="00DF70BD">
        <w:rPr>
          <w:rFonts w:ascii="標楷體" w:eastAsia="標楷體" w:hAnsi="標楷體" w:hint="eastAsia"/>
          <w:spacing w:val="-12"/>
        </w:rPr>
        <w:t>、公</w:t>
      </w:r>
      <w:r w:rsidR="00DF70BD" w:rsidRPr="003F001C">
        <w:rPr>
          <w:rFonts w:ascii="標楷體" w:eastAsia="標楷體" w:hAnsi="標楷體"/>
          <w:spacing w:val="-12"/>
        </w:rPr>
        <w:t>共意外責任險</w:t>
      </w:r>
      <w:r w:rsidRPr="003F001C">
        <w:rPr>
          <w:rFonts w:ascii="標楷體" w:eastAsia="標楷體" w:hAnsi="標楷體"/>
          <w:spacing w:val="-12"/>
        </w:rPr>
        <w:t>。</w:t>
      </w:r>
    </w:p>
    <w:p w14:paraId="261E6509" w14:textId="430E7933" w:rsidR="00A406F6" w:rsidRPr="00DF70BD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  <w:spacing w:val="-12"/>
        </w:rPr>
      </w:pPr>
      <w:r w:rsidRPr="00DF70BD">
        <w:rPr>
          <w:rFonts w:ascii="標楷體" w:eastAsia="標楷體" w:hAnsi="標楷體"/>
          <w:spacing w:val="-12"/>
        </w:rPr>
        <w:t>性侵害及性騷擾防治流程及機制。</w:t>
      </w:r>
    </w:p>
    <w:p w14:paraId="2EF980E4" w14:textId="1F7C580C" w:rsidR="00C254AC" w:rsidRPr="0045585D" w:rsidRDefault="000754DD" w:rsidP="00587A6A">
      <w:pPr>
        <w:pStyle w:val="a3"/>
        <w:numPr>
          <w:ilvl w:val="0"/>
          <w:numId w:val="5"/>
        </w:numPr>
        <w:spacing w:line="360" w:lineRule="auto"/>
        <w:ind w:left="1134" w:hanging="567"/>
        <w:rPr>
          <w:rFonts w:ascii="標楷體" w:eastAsia="標楷體" w:hAnsi="標楷體"/>
          <w:spacing w:val="-12"/>
        </w:rPr>
      </w:pPr>
      <w:r w:rsidRPr="0045585D">
        <w:rPr>
          <w:rFonts w:ascii="標楷體" w:eastAsia="標楷體" w:hAnsi="標楷體"/>
          <w:spacing w:val="-12"/>
        </w:rPr>
        <w:t>其他法規規定項目。</w:t>
      </w:r>
    </w:p>
    <w:p w14:paraId="7716DF03" w14:textId="2038AE70" w:rsidR="00A406F6" w:rsidRPr="00A748A7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rPr>
          <w:rFonts w:ascii="標楷體" w:eastAsia="標楷體" w:hAnsi="標楷體"/>
          <w:spacing w:val="-8"/>
        </w:rPr>
      </w:pPr>
      <w:r w:rsidRPr="00A748A7">
        <w:rPr>
          <w:rFonts w:ascii="標楷體" w:eastAsia="標楷體" w:hAnsi="標楷體"/>
          <w:spacing w:val="-8"/>
        </w:rPr>
        <w:t>執行方式</w:t>
      </w:r>
    </w:p>
    <w:p w14:paraId="437660A3" w14:textId="5C83504D" w:rsidR="00A406F6" w:rsidRPr="003F001C" w:rsidRDefault="000754DD" w:rsidP="00587A6A">
      <w:pPr>
        <w:pStyle w:val="a3"/>
        <w:numPr>
          <w:ilvl w:val="0"/>
          <w:numId w:val="6"/>
        </w:numPr>
        <w:spacing w:line="360" w:lineRule="auto"/>
        <w:ind w:left="1134" w:hanging="567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13"/>
        </w:rPr>
        <w:t>每年對住宿式服務類長照機構及含住宿式長照機</w:t>
      </w:r>
      <w:r w:rsidRPr="003F001C">
        <w:rPr>
          <w:rFonts w:ascii="標楷體" w:eastAsia="標楷體" w:hAnsi="標楷體"/>
          <w:spacing w:val="-2"/>
        </w:rPr>
        <w:t>構之綜合式服務類長照機構辦理無預警跨局處(衛生局、消防局</w:t>
      </w:r>
      <w:r w:rsidR="0045585D">
        <w:rPr>
          <w:rFonts w:ascii="標楷體" w:eastAsia="標楷體" w:hAnsi="標楷體" w:hint="eastAsia"/>
          <w:spacing w:val="-2"/>
        </w:rPr>
        <w:t>、建設處、勞工處</w:t>
      </w:r>
      <w:r w:rsidRPr="003F001C">
        <w:rPr>
          <w:rFonts w:ascii="標楷體" w:eastAsia="標楷體" w:hAnsi="標楷體"/>
          <w:spacing w:val="-2"/>
        </w:rPr>
        <w:t>等)</w:t>
      </w:r>
      <w:r w:rsidR="00537CD7">
        <w:rPr>
          <w:rFonts w:ascii="標楷體" w:eastAsia="標楷體" w:hAnsi="標楷體" w:hint="eastAsia"/>
          <w:spacing w:val="-2"/>
        </w:rPr>
        <w:t>輔導查核</w:t>
      </w:r>
      <w:r w:rsidRPr="003F001C">
        <w:rPr>
          <w:rFonts w:ascii="標楷體" w:eastAsia="標楷體" w:hAnsi="標楷體"/>
          <w:spacing w:val="-8"/>
        </w:rPr>
        <w:t>至少</w:t>
      </w:r>
      <w:r w:rsidRPr="003F001C">
        <w:rPr>
          <w:rFonts w:ascii="標楷體" w:eastAsia="標楷體" w:hAnsi="標楷體"/>
        </w:rPr>
        <w:t>1</w:t>
      </w:r>
      <w:r w:rsidRPr="003F001C">
        <w:rPr>
          <w:rFonts w:ascii="標楷體" w:eastAsia="標楷體" w:hAnsi="標楷體"/>
          <w:spacing w:val="-5"/>
        </w:rPr>
        <w:t>次，針對服務執行情形(含服務情形、行政管理</w:t>
      </w:r>
      <w:r w:rsidRPr="003F001C">
        <w:rPr>
          <w:rFonts w:ascii="標楷體" w:eastAsia="標楷體" w:hAnsi="標楷體"/>
          <w:spacing w:val="-2"/>
        </w:rPr>
        <w:t>等事務)</w:t>
      </w:r>
      <w:r w:rsidR="00F941FA">
        <w:rPr>
          <w:rFonts w:ascii="標楷體" w:eastAsia="標楷體" w:hAnsi="標楷體" w:hint="eastAsia"/>
          <w:spacing w:val="-2"/>
        </w:rPr>
        <w:t>以</w:t>
      </w:r>
      <w:r w:rsidRPr="003F001C">
        <w:rPr>
          <w:rFonts w:ascii="標楷體" w:eastAsia="標楷體" w:hAnsi="標楷體"/>
          <w:spacing w:val="-2"/>
        </w:rPr>
        <w:t>實地查核、書面資料查閱及相</w:t>
      </w:r>
      <w:r w:rsidRPr="003F001C">
        <w:rPr>
          <w:rFonts w:ascii="標楷體" w:eastAsia="標楷體" w:hAnsi="標楷體"/>
          <w:spacing w:val="-2"/>
        </w:rPr>
        <w:lastRenderedPageBreak/>
        <w:t>關人員訪談進行查核，並備有紀錄。</w:t>
      </w:r>
    </w:p>
    <w:p w14:paraId="2F663272" w14:textId="5E55535D" w:rsidR="00A406F6" w:rsidRPr="0045585D" w:rsidRDefault="000754DD" w:rsidP="00587A6A">
      <w:pPr>
        <w:pStyle w:val="a3"/>
        <w:numPr>
          <w:ilvl w:val="0"/>
          <w:numId w:val="6"/>
        </w:numPr>
        <w:spacing w:line="360" w:lineRule="auto"/>
        <w:ind w:left="1134" w:hanging="567"/>
        <w:rPr>
          <w:rFonts w:ascii="標楷體" w:eastAsia="標楷體" w:hAnsi="標楷體"/>
          <w:spacing w:val="-13"/>
        </w:rPr>
      </w:pPr>
      <w:r w:rsidRPr="003F001C">
        <w:rPr>
          <w:rFonts w:ascii="標楷體" w:eastAsia="標楷體" w:hAnsi="標楷體"/>
          <w:spacing w:val="-13"/>
        </w:rPr>
        <w:t>查核結果如有缺失事項者，後續依法裁處，並請機構限</w:t>
      </w:r>
      <w:r w:rsidRPr="0045585D">
        <w:rPr>
          <w:rFonts w:ascii="標楷體" w:eastAsia="標楷體" w:hAnsi="標楷體"/>
          <w:spacing w:val="-13"/>
        </w:rPr>
        <w:t>期改善及函復改善情形。</w:t>
      </w:r>
    </w:p>
    <w:p w14:paraId="7EAA0219" w14:textId="19675C26" w:rsidR="00A406F6" w:rsidRPr="0045585D" w:rsidRDefault="000754DD" w:rsidP="00587A6A">
      <w:pPr>
        <w:pStyle w:val="a3"/>
        <w:numPr>
          <w:ilvl w:val="0"/>
          <w:numId w:val="6"/>
        </w:numPr>
        <w:spacing w:line="360" w:lineRule="auto"/>
        <w:ind w:left="1134" w:hanging="567"/>
        <w:rPr>
          <w:rFonts w:ascii="標楷體" w:eastAsia="標楷體" w:hAnsi="標楷體"/>
          <w:spacing w:val="-13"/>
        </w:rPr>
      </w:pPr>
      <w:r w:rsidRPr="003F001C">
        <w:rPr>
          <w:rFonts w:ascii="標楷體" w:eastAsia="標楷體" w:hAnsi="標楷體"/>
          <w:spacing w:val="-13"/>
        </w:rPr>
        <w:t>機構如未回復</w:t>
      </w:r>
      <w:r>
        <w:rPr>
          <w:rFonts w:ascii="標楷體" w:eastAsia="標楷體" w:hAnsi="標楷體" w:hint="eastAsia"/>
          <w:spacing w:val="-13"/>
        </w:rPr>
        <w:t>、</w:t>
      </w:r>
      <w:r w:rsidRPr="003F001C">
        <w:rPr>
          <w:rFonts w:ascii="標楷體" w:eastAsia="標楷體" w:hAnsi="標楷體"/>
          <w:spacing w:val="-13"/>
        </w:rPr>
        <w:t>屆期未改善，依相關法規辦</w:t>
      </w:r>
      <w:r w:rsidRPr="0045585D">
        <w:rPr>
          <w:rFonts w:ascii="標楷體" w:eastAsia="標楷體" w:hAnsi="標楷體"/>
          <w:spacing w:val="-13"/>
        </w:rPr>
        <w:t>理後續措施。</w:t>
      </w:r>
    </w:p>
    <w:p w14:paraId="1B956EEE" w14:textId="782B6650" w:rsidR="003F001C" w:rsidRPr="0045585D" w:rsidRDefault="00B60386" w:rsidP="00587A6A">
      <w:pPr>
        <w:pStyle w:val="a3"/>
        <w:numPr>
          <w:ilvl w:val="0"/>
          <w:numId w:val="6"/>
        </w:numPr>
        <w:spacing w:line="360" w:lineRule="auto"/>
        <w:ind w:left="1134" w:hanging="567"/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  <w:spacing w:val="-13"/>
        </w:rPr>
        <w:t>當年度</w:t>
      </w:r>
      <w:r w:rsidR="000754DD" w:rsidRPr="0045585D">
        <w:rPr>
          <w:rFonts w:ascii="標楷體" w:eastAsia="標楷體" w:hAnsi="標楷體"/>
          <w:spacing w:val="-13"/>
        </w:rPr>
        <w:t>查核</w:t>
      </w:r>
      <w:r>
        <w:rPr>
          <w:rFonts w:ascii="標楷體" w:eastAsia="標楷體" w:hAnsi="標楷體" w:hint="eastAsia"/>
          <w:spacing w:val="-13"/>
        </w:rPr>
        <w:t>之</w:t>
      </w:r>
      <w:r w:rsidR="000754DD" w:rsidRPr="0045585D">
        <w:rPr>
          <w:rFonts w:ascii="標楷體" w:eastAsia="標楷體" w:hAnsi="標楷體"/>
          <w:spacing w:val="-13"/>
        </w:rPr>
        <w:t>缺失事項，</w:t>
      </w:r>
      <w:r>
        <w:rPr>
          <w:rFonts w:ascii="標楷體" w:eastAsia="標楷體" w:hAnsi="標楷體" w:hint="eastAsia"/>
          <w:spacing w:val="-13"/>
        </w:rPr>
        <w:t>列入</w:t>
      </w:r>
      <w:r w:rsidR="0056105B">
        <w:rPr>
          <w:rFonts w:ascii="標楷體" w:eastAsia="標楷體" w:hAnsi="標楷體" w:hint="eastAsia"/>
          <w:spacing w:val="-13"/>
        </w:rPr>
        <w:t>下一</w:t>
      </w:r>
      <w:r w:rsidR="00F941FA">
        <w:rPr>
          <w:rFonts w:ascii="標楷體" w:eastAsia="標楷體" w:hAnsi="標楷體" w:hint="eastAsia"/>
          <w:spacing w:val="-13"/>
        </w:rPr>
        <w:t>年度</w:t>
      </w:r>
      <w:r w:rsidR="000754DD" w:rsidRPr="0045585D">
        <w:rPr>
          <w:rFonts w:ascii="標楷體" w:eastAsia="標楷體" w:hAnsi="標楷體"/>
          <w:spacing w:val="-13"/>
        </w:rPr>
        <w:t>加強輔導查核</w:t>
      </w:r>
      <w:r>
        <w:rPr>
          <w:rFonts w:ascii="標楷體" w:eastAsia="標楷體" w:hAnsi="標楷體" w:hint="eastAsia"/>
          <w:spacing w:val="-13"/>
        </w:rPr>
        <w:t>項目</w:t>
      </w:r>
      <w:r w:rsidR="000754DD" w:rsidRPr="0045585D">
        <w:rPr>
          <w:rFonts w:ascii="標楷體" w:eastAsia="標楷體" w:hAnsi="標楷體"/>
          <w:spacing w:val="-13"/>
        </w:rPr>
        <w:t>。</w:t>
      </w:r>
    </w:p>
    <w:p w14:paraId="14B39317" w14:textId="47DD2CB8" w:rsidR="00A406F6" w:rsidRPr="00510081" w:rsidRDefault="000754DD" w:rsidP="00510081">
      <w:pPr>
        <w:pStyle w:val="a3"/>
        <w:numPr>
          <w:ilvl w:val="0"/>
          <w:numId w:val="2"/>
        </w:numPr>
        <w:spacing w:line="360" w:lineRule="auto"/>
        <w:ind w:left="578" w:hanging="578"/>
        <w:rPr>
          <w:rFonts w:ascii="標楷體" w:eastAsia="標楷體" w:hAnsi="標楷體"/>
          <w:spacing w:val="-3"/>
        </w:rPr>
      </w:pPr>
      <w:r w:rsidRPr="00510081">
        <w:rPr>
          <w:rFonts w:ascii="標楷體" w:eastAsia="標楷體" w:hAnsi="標楷體"/>
          <w:spacing w:val="-3"/>
        </w:rPr>
        <w:t>輔導機制</w:t>
      </w:r>
    </w:p>
    <w:p w14:paraId="481E88A3" w14:textId="3E781816" w:rsidR="00A406F6" w:rsidRPr="003F001C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jc w:val="both"/>
        <w:rPr>
          <w:rFonts w:ascii="標楷體" w:eastAsia="標楷體" w:hAnsi="標楷體"/>
        </w:rPr>
      </w:pPr>
      <w:r w:rsidRPr="003F001C">
        <w:rPr>
          <w:rFonts w:ascii="標楷體" w:eastAsia="標楷體" w:hAnsi="標楷體"/>
          <w:spacing w:val="-8"/>
        </w:rPr>
        <w:t>每年辦理</w:t>
      </w:r>
      <w:r w:rsidR="005617F5">
        <w:rPr>
          <w:rFonts w:ascii="標楷體" w:eastAsia="標楷體" w:hAnsi="標楷體" w:hint="eastAsia"/>
          <w:spacing w:val="-8"/>
        </w:rPr>
        <w:t>機構</w:t>
      </w:r>
      <w:r w:rsidRPr="003F001C">
        <w:rPr>
          <w:rFonts w:ascii="標楷體" w:eastAsia="標楷體" w:hAnsi="標楷體"/>
          <w:spacing w:val="-8"/>
        </w:rPr>
        <w:t>聯繫會報，傳達機構最新規定</w:t>
      </w:r>
      <w:r w:rsidR="00991C96">
        <w:rPr>
          <w:rFonts w:ascii="標楷體" w:eastAsia="標楷體" w:hAnsi="標楷體" w:hint="eastAsia"/>
          <w:spacing w:val="-8"/>
        </w:rPr>
        <w:t>及</w:t>
      </w:r>
      <w:r w:rsidR="00991C96">
        <w:rPr>
          <w:rFonts w:ascii="標楷體" w:eastAsia="標楷體" w:hAnsi="標楷體" w:hint="eastAsia"/>
          <w:spacing w:val="-2"/>
        </w:rPr>
        <w:t>意見交流討論</w:t>
      </w:r>
      <w:r w:rsidR="005617F5">
        <w:rPr>
          <w:rFonts w:ascii="標楷體" w:eastAsia="標楷體" w:hAnsi="標楷體" w:hint="eastAsia"/>
          <w:spacing w:val="-2"/>
        </w:rPr>
        <w:t>。</w:t>
      </w:r>
    </w:p>
    <w:p w14:paraId="566CA04B" w14:textId="2EB219C4" w:rsidR="00A406F6" w:rsidRPr="0045585D" w:rsidRDefault="000754DD" w:rsidP="003444AE">
      <w:pPr>
        <w:pStyle w:val="a3"/>
        <w:numPr>
          <w:ilvl w:val="1"/>
          <w:numId w:val="2"/>
        </w:numPr>
        <w:spacing w:line="360" w:lineRule="auto"/>
        <w:ind w:left="851" w:hanging="567"/>
        <w:jc w:val="both"/>
        <w:rPr>
          <w:rFonts w:ascii="標楷體" w:eastAsia="標楷體" w:hAnsi="標楷體"/>
          <w:spacing w:val="-8"/>
        </w:rPr>
      </w:pPr>
      <w:r w:rsidRPr="0045585D">
        <w:rPr>
          <w:rFonts w:ascii="標楷體" w:eastAsia="標楷體" w:hAnsi="標楷體"/>
          <w:spacing w:val="-8"/>
        </w:rPr>
        <w:t>每年安排專家學者，針對</w:t>
      </w:r>
      <w:r w:rsidR="00812288">
        <w:rPr>
          <w:rFonts w:ascii="標楷體" w:eastAsia="標楷體" w:hAnsi="標楷體" w:hint="eastAsia"/>
          <w:spacing w:val="-8"/>
        </w:rPr>
        <w:t>機構須加強之</w:t>
      </w:r>
      <w:r w:rsidRPr="0045585D">
        <w:rPr>
          <w:rFonts w:ascii="標楷體" w:eastAsia="標楷體" w:hAnsi="標楷體"/>
          <w:spacing w:val="-8"/>
        </w:rPr>
        <w:t>領域(如管理、護理、社工、公安等)進行輔導</w:t>
      </w:r>
      <w:r w:rsidR="003D7DCD">
        <w:rPr>
          <w:rFonts w:ascii="標楷體" w:eastAsia="標楷體" w:hAnsi="標楷體" w:hint="eastAsia"/>
          <w:spacing w:val="-8"/>
        </w:rPr>
        <w:t>或辦理教育訓練</w:t>
      </w:r>
      <w:r w:rsidRPr="0045585D">
        <w:rPr>
          <w:rFonts w:ascii="標楷體" w:eastAsia="標楷體" w:hAnsi="標楷體"/>
          <w:spacing w:val="-8"/>
        </w:rPr>
        <w:t>。</w:t>
      </w:r>
    </w:p>
    <w:p w14:paraId="73A9D867" w14:textId="455323F3" w:rsidR="00A406F6" w:rsidRPr="00510081" w:rsidRDefault="000754DD" w:rsidP="00510081">
      <w:pPr>
        <w:pStyle w:val="a3"/>
        <w:numPr>
          <w:ilvl w:val="0"/>
          <w:numId w:val="2"/>
        </w:numPr>
        <w:spacing w:line="360" w:lineRule="auto"/>
        <w:ind w:left="578" w:hanging="578"/>
        <w:rPr>
          <w:rFonts w:ascii="標楷體" w:eastAsia="標楷體" w:hAnsi="標楷體"/>
          <w:spacing w:val="-3"/>
        </w:rPr>
      </w:pPr>
      <w:r w:rsidRPr="003F001C">
        <w:rPr>
          <w:rFonts w:ascii="標楷體" w:eastAsia="標楷體" w:hAnsi="標楷體"/>
          <w:spacing w:val="-3"/>
        </w:rPr>
        <w:t>本機制奉核</w:t>
      </w:r>
      <w:r w:rsidR="00D0592D">
        <w:rPr>
          <w:rFonts w:ascii="標楷體" w:eastAsia="標楷體" w:hAnsi="標楷體" w:hint="eastAsia"/>
          <w:spacing w:val="-3"/>
        </w:rPr>
        <w:t>後</w:t>
      </w:r>
      <w:r w:rsidRPr="003F001C">
        <w:rPr>
          <w:rFonts w:ascii="標楷體" w:eastAsia="標楷體" w:hAnsi="標楷體"/>
          <w:spacing w:val="-3"/>
        </w:rPr>
        <w:t>公告實施，修正時亦同。</w:t>
      </w:r>
    </w:p>
    <w:sectPr w:rsidR="00A406F6" w:rsidRPr="00510081" w:rsidSect="005F546A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217"/>
    <w:multiLevelType w:val="hybridMultilevel"/>
    <w:tmpl w:val="B2E45284"/>
    <w:lvl w:ilvl="0" w:tplc="E7821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030439"/>
    <w:multiLevelType w:val="hybridMultilevel"/>
    <w:tmpl w:val="6C58E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863F89"/>
    <w:multiLevelType w:val="hybridMultilevel"/>
    <w:tmpl w:val="68E6BFBE"/>
    <w:lvl w:ilvl="0" w:tplc="ACF4AD5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FE54B0"/>
    <w:multiLevelType w:val="hybridMultilevel"/>
    <w:tmpl w:val="A140951C"/>
    <w:lvl w:ilvl="0" w:tplc="8B0A6D8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8572DD"/>
    <w:multiLevelType w:val="hybridMultilevel"/>
    <w:tmpl w:val="96F47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955D1"/>
    <w:multiLevelType w:val="hybridMultilevel"/>
    <w:tmpl w:val="B6B280F8"/>
    <w:lvl w:ilvl="0" w:tplc="E24637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CFEFB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2716608">
    <w:abstractNumId w:val="1"/>
  </w:num>
  <w:num w:numId="2" w16cid:durableId="214046083">
    <w:abstractNumId w:val="5"/>
  </w:num>
  <w:num w:numId="3" w16cid:durableId="1030571932">
    <w:abstractNumId w:val="0"/>
  </w:num>
  <w:num w:numId="4" w16cid:durableId="1923294279">
    <w:abstractNumId w:val="4"/>
  </w:num>
  <w:num w:numId="5" w16cid:durableId="685014426">
    <w:abstractNumId w:val="2"/>
  </w:num>
  <w:num w:numId="6" w16cid:durableId="13044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6F6"/>
    <w:rsid w:val="000754DD"/>
    <w:rsid w:val="000A1F0F"/>
    <w:rsid w:val="00163668"/>
    <w:rsid w:val="0020151B"/>
    <w:rsid w:val="002B3EE6"/>
    <w:rsid w:val="003444AE"/>
    <w:rsid w:val="003D7DCD"/>
    <w:rsid w:val="003F001C"/>
    <w:rsid w:val="0045585D"/>
    <w:rsid w:val="00456C62"/>
    <w:rsid w:val="00510081"/>
    <w:rsid w:val="00537CD7"/>
    <w:rsid w:val="0056105B"/>
    <w:rsid w:val="005617F5"/>
    <w:rsid w:val="00587A6A"/>
    <w:rsid w:val="005F546A"/>
    <w:rsid w:val="00622AA6"/>
    <w:rsid w:val="006842F1"/>
    <w:rsid w:val="006C6363"/>
    <w:rsid w:val="00772A74"/>
    <w:rsid w:val="00812288"/>
    <w:rsid w:val="008406F1"/>
    <w:rsid w:val="008458EC"/>
    <w:rsid w:val="00991C96"/>
    <w:rsid w:val="00A406F6"/>
    <w:rsid w:val="00A748A7"/>
    <w:rsid w:val="00B57528"/>
    <w:rsid w:val="00B60386"/>
    <w:rsid w:val="00C254AC"/>
    <w:rsid w:val="00C500A8"/>
    <w:rsid w:val="00D0592D"/>
    <w:rsid w:val="00DA092F"/>
    <w:rsid w:val="00DF70BD"/>
    <w:rsid w:val="00EF02D9"/>
    <w:rsid w:val="00EF4D3B"/>
    <w:rsid w:val="00F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B045"/>
  <w15:docId w15:val="{5B46432C-96DC-40AD-BA8C-C219B8C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56" w:lineRule="exact"/>
      <w:ind w:left="287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蔡宗翰</dc:creator>
  <cp:lastModifiedBy>長照科01</cp:lastModifiedBy>
  <cp:revision>29</cp:revision>
  <dcterms:created xsi:type="dcterms:W3CDTF">2025-02-06T01:38:00Z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</Properties>
</file>